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3C3066" w14:paraId="12DCB191" w14:textId="77777777" w:rsidTr="00826D53">
        <w:trPr>
          <w:trHeight w:val="282"/>
        </w:trPr>
        <w:tc>
          <w:tcPr>
            <w:tcW w:w="500" w:type="dxa"/>
            <w:vMerge w:val="restart"/>
            <w:tcBorders>
              <w:bottom w:val="nil"/>
            </w:tcBorders>
            <w:textDirection w:val="btLr"/>
          </w:tcPr>
          <w:p w14:paraId="184568BA" w14:textId="77777777" w:rsidR="00A80767" w:rsidRPr="003C306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rPr>
            </w:pPr>
            <w:r>
              <w:t>TIEMPO CLIMA AGUA</w:t>
            </w:r>
          </w:p>
        </w:tc>
        <w:tc>
          <w:tcPr>
            <w:tcW w:w="6852" w:type="dxa"/>
            <w:vMerge w:val="restart"/>
          </w:tcPr>
          <w:p w14:paraId="39CF719A" w14:textId="77777777" w:rsidR="00A80767" w:rsidRPr="00755E85"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3C3066">
              <w:rPr>
                <w:noProof/>
                <w:color w:val="365F91" w:themeColor="accent1" w:themeShade="BF"/>
                <w:szCs w:val="22"/>
                <w:lang w:val="es-ES"/>
              </w:rPr>
              <w:drawing>
                <wp:anchor distT="0" distB="0" distL="114300" distR="114300" simplePos="0" relativeHeight="251659264" behindDoc="1" locked="1" layoutInCell="1" allowOverlap="1" wp14:anchorId="08176842" wp14:editId="0507615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E85">
              <w:rPr>
                <w:b/>
                <w:lang w:val="es-ES"/>
              </w:rPr>
              <w:t>Organización Meteorológica Mundial</w:t>
            </w:r>
          </w:p>
          <w:p w14:paraId="6645E61A" w14:textId="77777777" w:rsidR="00A80767" w:rsidRPr="00755E85" w:rsidRDefault="00505647"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755E85">
              <w:rPr>
                <w:b/>
                <w:lang w:val="es-ES"/>
              </w:rPr>
              <w:t>CONGRESO METEOROLÓGICO MUNDIAL</w:t>
            </w:r>
          </w:p>
          <w:p w14:paraId="22996663" w14:textId="03BC5802" w:rsidR="00A80767" w:rsidRPr="00755E85" w:rsidRDefault="0050564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755E85">
              <w:rPr>
                <w:b/>
                <w:lang w:val="es-ES"/>
              </w:rPr>
              <w:t xml:space="preserve">Decimonovena reunión </w:t>
            </w:r>
            <w:r w:rsidRPr="00755E85">
              <w:rPr>
                <w:lang w:val="es-ES"/>
              </w:rPr>
              <w:t>Ginebra, 22 de mayo a 2 de junio de 2023</w:t>
            </w:r>
          </w:p>
        </w:tc>
        <w:tc>
          <w:tcPr>
            <w:tcW w:w="2962" w:type="dxa"/>
          </w:tcPr>
          <w:p w14:paraId="71F9AFDD" w14:textId="77777777" w:rsidR="00A80767" w:rsidRPr="003C3066" w:rsidRDefault="00505647" w:rsidP="00826D53">
            <w:pPr>
              <w:tabs>
                <w:tab w:val="clear" w:pos="1134"/>
              </w:tabs>
              <w:spacing w:after="60"/>
              <w:ind w:right="-108"/>
              <w:jc w:val="right"/>
              <w:rPr>
                <w:rFonts w:cs="Tahoma"/>
                <w:b/>
                <w:bCs/>
                <w:color w:val="365F91" w:themeColor="accent1" w:themeShade="BF"/>
                <w:szCs w:val="22"/>
              </w:rPr>
            </w:pPr>
            <w:r>
              <w:rPr>
                <w:b/>
              </w:rPr>
              <w:t>Cg-19/INF. 3(2)</w:t>
            </w:r>
          </w:p>
        </w:tc>
      </w:tr>
      <w:tr w:rsidR="00A80767" w:rsidRPr="0097536F" w14:paraId="209BADAF" w14:textId="77777777" w:rsidTr="00826D53">
        <w:trPr>
          <w:trHeight w:val="730"/>
        </w:trPr>
        <w:tc>
          <w:tcPr>
            <w:tcW w:w="500" w:type="dxa"/>
            <w:vMerge/>
            <w:tcBorders>
              <w:bottom w:val="nil"/>
            </w:tcBorders>
          </w:tcPr>
          <w:p w14:paraId="3794B9F4" w14:textId="77777777" w:rsidR="00A80767" w:rsidRPr="003C306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FAE9AE8" w14:textId="77777777" w:rsidR="00A80767" w:rsidRPr="003C306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879AB3E" w14:textId="61BA1976" w:rsidR="00A80767" w:rsidRPr="00755E85" w:rsidRDefault="00A80767" w:rsidP="00826D53">
            <w:pPr>
              <w:tabs>
                <w:tab w:val="clear" w:pos="1134"/>
              </w:tabs>
              <w:spacing w:before="120" w:after="60"/>
              <w:ind w:right="-108"/>
              <w:jc w:val="right"/>
              <w:rPr>
                <w:rFonts w:cs="Tahoma"/>
                <w:color w:val="365F91" w:themeColor="accent1" w:themeShade="BF"/>
                <w:szCs w:val="22"/>
                <w:lang w:val="es-ES"/>
              </w:rPr>
            </w:pPr>
            <w:r w:rsidRPr="00755E85">
              <w:rPr>
                <w:lang w:val="es-ES"/>
              </w:rPr>
              <w:t>Presentado por:</w:t>
            </w:r>
            <w:r w:rsidR="00045624">
              <w:rPr>
                <w:lang w:val="es-ES"/>
              </w:rPr>
              <w:br/>
            </w:r>
            <w:r w:rsidRPr="00755E85">
              <w:rPr>
                <w:lang w:val="es-ES"/>
              </w:rPr>
              <w:t>Secretario General</w:t>
            </w:r>
          </w:p>
          <w:p w14:paraId="7EAB581D" w14:textId="2B442DF0" w:rsidR="00A80767" w:rsidRPr="00755E85" w:rsidRDefault="00505647" w:rsidP="00826D53">
            <w:pPr>
              <w:tabs>
                <w:tab w:val="clear" w:pos="1134"/>
              </w:tabs>
              <w:spacing w:before="120" w:after="60"/>
              <w:ind w:right="-108"/>
              <w:jc w:val="right"/>
              <w:rPr>
                <w:rFonts w:cs="Tahoma"/>
                <w:color w:val="365F91" w:themeColor="accent1" w:themeShade="BF"/>
                <w:szCs w:val="22"/>
                <w:lang w:val="es-ES"/>
              </w:rPr>
            </w:pPr>
            <w:r w:rsidRPr="00755E85">
              <w:rPr>
                <w:lang w:val="es-ES"/>
              </w:rPr>
              <w:t>12.I.2023</w:t>
            </w:r>
          </w:p>
          <w:p w14:paraId="0E6054A3" w14:textId="77777777" w:rsidR="00A80767" w:rsidRPr="00755E85" w:rsidRDefault="00A80767" w:rsidP="00826D53">
            <w:pPr>
              <w:tabs>
                <w:tab w:val="clear" w:pos="1134"/>
              </w:tabs>
              <w:spacing w:before="120" w:after="60"/>
              <w:ind w:right="-108"/>
              <w:jc w:val="right"/>
              <w:rPr>
                <w:rFonts w:cs="Tahoma"/>
                <w:b/>
                <w:bCs/>
                <w:color w:val="365F91" w:themeColor="accent1" w:themeShade="BF"/>
                <w:szCs w:val="22"/>
                <w:lang w:val="es-ES"/>
              </w:rPr>
            </w:pPr>
          </w:p>
        </w:tc>
      </w:tr>
    </w:tbl>
    <w:p w14:paraId="428ACC26" w14:textId="77777777" w:rsidR="0097536F" w:rsidRDefault="0097536F" w:rsidP="0097536F">
      <w:pPr>
        <w:pStyle w:val="Heading2"/>
        <w:spacing w:before="240" w:after="120"/>
        <w:rPr>
          <w:b w:val="0"/>
          <w:bCs w:val="0"/>
          <w:i/>
          <w:iCs w:val="0"/>
          <w:sz w:val="20"/>
          <w:szCs w:val="20"/>
          <w:lang w:val="es-ES"/>
        </w:rPr>
      </w:pPr>
      <w:r>
        <w:rPr>
          <w:rStyle w:val="normaltextrun"/>
          <w:rFonts w:cs="Calibri"/>
          <w:b w:val="0"/>
          <w:bCs w:val="0"/>
          <w:i/>
          <w:iCs w:val="0"/>
          <w:color w:val="FF0000"/>
          <w:sz w:val="20"/>
          <w:szCs w:val="20"/>
          <w:shd w:val="clear" w:color="auto" w:fill="FFFFFF"/>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r>
        <w:rPr>
          <w:rStyle w:val="eop"/>
          <w:rFonts w:cs="Calibri"/>
          <w:b w:val="0"/>
          <w:bCs w:val="0"/>
          <w:i/>
          <w:iCs w:val="0"/>
          <w:color w:val="FF0000"/>
          <w:sz w:val="20"/>
          <w:szCs w:val="20"/>
          <w:shd w:val="clear" w:color="auto" w:fill="FFFFFF"/>
          <w:lang w:val="es-ES_tradnl"/>
        </w:rPr>
        <w:t> </w:t>
      </w:r>
    </w:p>
    <w:p w14:paraId="0A04C833" w14:textId="3A597C50" w:rsidR="00054391" w:rsidRPr="00755E85" w:rsidRDefault="00054391" w:rsidP="00054391">
      <w:pPr>
        <w:keepNext/>
        <w:keepLines/>
        <w:tabs>
          <w:tab w:val="clear" w:pos="1134"/>
          <w:tab w:val="left" w:pos="1418"/>
        </w:tabs>
        <w:spacing w:before="200"/>
        <w:jc w:val="center"/>
        <w:outlineLvl w:val="1"/>
        <w:rPr>
          <w:rFonts w:eastAsiaTheme="majorEastAsia" w:cstheme="majorBidi"/>
          <w:b/>
          <w:bCs/>
          <w:szCs w:val="26"/>
          <w:lang w:val="es-ES"/>
        </w:rPr>
      </w:pPr>
      <w:r w:rsidRPr="00755E85">
        <w:rPr>
          <w:b/>
          <w:lang w:val="es-ES"/>
        </w:rPr>
        <w:t>PLAN ESTRATÉGICO Y PRESUPUESTO PARA 2024–2027</w:t>
      </w:r>
    </w:p>
    <w:p w14:paraId="748108C4" w14:textId="77777777" w:rsidR="00054391" w:rsidRPr="00755E85" w:rsidRDefault="00054391" w:rsidP="00054391">
      <w:pPr>
        <w:keepNext/>
        <w:keepLines/>
        <w:tabs>
          <w:tab w:val="clear" w:pos="1134"/>
          <w:tab w:val="left" w:pos="1418"/>
        </w:tabs>
        <w:spacing w:before="200"/>
        <w:jc w:val="center"/>
        <w:outlineLvl w:val="1"/>
        <w:rPr>
          <w:rFonts w:eastAsiaTheme="majorEastAsia" w:cstheme="majorBidi"/>
          <w:b/>
          <w:bCs/>
          <w:szCs w:val="26"/>
          <w:lang w:val="es-ES"/>
        </w:rPr>
      </w:pPr>
      <w:r w:rsidRPr="00755E85">
        <w:rPr>
          <w:b/>
          <w:lang w:val="es-ES"/>
        </w:rPr>
        <w:t>CIFRA MÁXIMA DE GASTOS PARA EL DECIMONOVENO EJERCICIO ECONÓMICO (2024-2027)</w:t>
      </w:r>
    </w:p>
    <w:p w14:paraId="153A48E8" w14:textId="77777777" w:rsidR="00054391" w:rsidRPr="00755E85" w:rsidRDefault="00054391" w:rsidP="00054391">
      <w:pPr>
        <w:keepNext/>
        <w:keepLines/>
        <w:tabs>
          <w:tab w:val="clear" w:pos="1134"/>
          <w:tab w:val="left" w:pos="1418"/>
        </w:tabs>
        <w:jc w:val="center"/>
        <w:outlineLvl w:val="1"/>
        <w:rPr>
          <w:rFonts w:eastAsiaTheme="majorEastAsia" w:cstheme="majorBidi"/>
          <w:b/>
          <w:bCs/>
          <w:szCs w:val="26"/>
          <w:lang w:val="es-ES"/>
        </w:rPr>
      </w:pPr>
      <w:r w:rsidRPr="00755E85">
        <w:rPr>
          <w:b/>
          <w:lang w:val="es-ES"/>
        </w:rPr>
        <w:t>[Todas las enmiendas al presente documento</w:t>
      </w:r>
    </w:p>
    <w:sdt>
      <w:sdtPr>
        <w:rPr>
          <w:rFonts w:asciiTheme="minorHAnsi" w:eastAsiaTheme="minorHAnsi" w:hAnsiTheme="minorHAnsi" w:cstheme="minorBidi"/>
          <w:sz w:val="22"/>
          <w:szCs w:val="22"/>
          <w:lang w:eastAsia="zh-CN"/>
        </w:rPr>
        <w:id w:val="-2003895642"/>
        <w:docPartObj>
          <w:docPartGallery w:val="Table of Contents"/>
          <w:docPartUnique/>
        </w:docPartObj>
      </w:sdtPr>
      <w:sdtEndPr>
        <w:rPr>
          <w:rFonts w:ascii="Verdana" w:eastAsiaTheme="minorEastAsia" w:hAnsi="Verdana"/>
          <w:b/>
          <w:bCs/>
          <w:noProof/>
          <w:sz w:val="20"/>
        </w:rPr>
      </w:sdtEndPr>
      <w:sdtContent>
        <w:p w14:paraId="780BAFF0" w14:textId="77777777" w:rsidR="00054391" w:rsidRPr="003C3066" w:rsidRDefault="00054391" w:rsidP="00054391">
          <w:pPr>
            <w:keepNext/>
            <w:keepLines/>
            <w:tabs>
              <w:tab w:val="clear" w:pos="1134"/>
            </w:tabs>
            <w:spacing w:before="240" w:line="259" w:lineRule="auto"/>
            <w:jc w:val="center"/>
            <w:rPr>
              <w:rFonts w:eastAsiaTheme="majorEastAsia" w:cstheme="majorBidi"/>
              <w:b/>
              <w:bCs/>
              <w:sz w:val="22"/>
              <w:szCs w:val="22"/>
            </w:rPr>
          </w:pPr>
          <w:r>
            <w:rPr>
              <w:b/>
            </w:rPr>
            <w:t>Índice</w:t>
          </w:r>
        </w:p>
        <w:p w14:paraId="73698B36" w14:textId="77777777" w:rsidR="00054391" w:rsidRPr="003C3066" w:rsidRDefault="00054391" w:rsidP="00054391">
          <w:pPr>
            <w:tabs>
              <w:tab w:val="clear" w:pos="1134"/>
              <w:tab w:val="left" w:pos="1418"/>
            </w:tabs>
            <w:spacing w:after="200"/>
            <w:jc w:val="left"/>
            <w:rPr>
              <w:rFonts w:eastAsiaTheme="minorEastAsia" w:cstheme="minorBidi"/>
              <w:szCs w:val="22"/>
              <w:lang w:eastAsia="zh-CN"/>
            </w:rPr>
          </w:pPr>
        </w:p>
        <w:p w14:paraId="330E8EBA" w14:textId="7327726D" w:rsidR="00054391" w:rsidRPr="003C3066" w:rsidRDefault="00054391" w:rsidP="00054391">
          <w:pPr>
            <w:tabs>
              <w:tab w:val="left" w:pos="660"/>
              <w:tab w:val="right" w:pos="9072"/>
            </w:tabs>
            <w:spacing w:line="480" w:lineRule="auto"/>
            <w:rPr>
              <w:rFonts w:asciiTheme="minorHAnsi" w:eastAsiaTheme="minorEastAsia" w:hAnsiTheme="minorHAnsi" w:cstheme="minorBidi"/>
              <w:noProof/>
              <w:sz w:val="22"/>
              <w:szCs w:val="22"/>
            </w:rPr>
          </w:pPr>
          <w:r w:rsidRPr="003C3066">
            <w:fldChar w:fldCharType="begin"/>
          </w:r>
          <w:r w:rsidRPr="003C3066">
            <w:instrText xml:space="preserve"> TOC \o "1-1" \h \z \u </w:instrText>
          </w:r>
          <w:r w:rsidRPr="003C3066">
            <w:fldChar w:fldCharType="separate"/>
          </w:r>
          <w:hyperlink w:anchor="_Toc121390453" w:history="1">
            <w:r w:rsidRPr="003C3066">
              <w:rPr>
                <w:noProof/>
                <w:color w:val="0000FF"/>
              </w:rPr>
              <w:t>I.</w:t>
            </w:r>
            <w:r w:rsidRPr="003C3066">
              <w:rPr>
                <w:rFonts w:asciiTheme="minorHAnsi" w:eastAsiaTheme="minorEastAsia" w:hAnsiTheme="minorHAnsi" w:cstheme="minorBidi"/>
                <w:noProof/>
                <w:sz w:val="22"/>
                <w:szCs w:val="22"/>
              </w:rPr>
              <w:tab/>
            </w:r>
            <w:r w:rsidR="009D1B2C">
              <w:rPr>
                <w:noProof/>
                <w:color w:val="0000FF"/>
              </w:rPr>
              <w:t>Antecedentes</w:t>
            </w:r>
            <w:r w:rsidRPr="003C3066">
              <w:rPr>
                <w:noProof/>
                <w:webHidden/>
              </w:rPr>
              <w:tab/>
            </w:r>
            <w:r w:rsidRPr="003C3066">
              <w:rPr>
                <w:noProof/>
                <w:webHidden/>
              </w:rPr>
              <w:fldChar w:fldCharType="begin"/>
            </w:r>
            <w:r w:rsidRPr="003C3066">
              <w:rPr>
                <w:noProof/>
                <w:webHidden/>
              </w:rPr>
              <w:instrText xml:space="preserve"> PAGEREF _Toc121390453 \h </w:instrText>
            </w:r>
            <w:r w:rsidRPr="003C3066">
              <w:rPr>
                <w:noProof/>
                <w:webHidden/>
              </w:rPr>
            </w:r>
            <w:r w:rsidRPr="003C3066">
              <w:rPr>
                <w:noProof/>
                <w:webHidden/>
              </w:rPr>
              <w:fldChar w:fldCharType="separate"/>
            </w:r>
            <w:r w:rsidR="00BE494E" w:rsidRPr="003C3066">
              <w:rPr>
                <w:noProof/>
                <w:webHidden/>
              </w:rPr>
              <w:t>2</w:t>
            </w:r>
            <w:r w:rsidRPr="003C3066">
              <w:rPr>
                <w:noProof/>
                <w:webHidden/>
              </w:rPr>
              <w:fldChar w:fldCharType="end"/>
            </w:r>
          </w:hyperlink>
        </w:p>
        <w:p w14:paraId="50865601" w14:textId="26A8CE38"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54" w:history="1">
            <w:r w:rsidR="00054391" w:rsidRPr="003C3066">
              <w:rPr>
                <w:noProof/>
                <w:color w:val="0000FF"/>
              </w:rPr>
              <w:t>II.</w:t>
            </w:r>
            <w:r w:rsidR="00054391" w:rsidRPr="003C3066">
              <w:rPr>
                <w:rFonts w:asciiTheme="minorHAnsi" w:eastAsiaTheme="minorEastAsia" w:hAnsiTheme="minorHAnsi" w:cstheme="minorBidi"/>
                <w:noProof/>
                <w:sz w:val="22"/>
                <w:szCs w:val="22"/>
              </w:rPr>
              <w:tab/>
            </w:r>
            <w:r w:rsidR="00054391" w:rsidRPr="003C3066">
              <w:rPr>
                <w:noProof/>
                <w:color w:val="0000FF"/>
              </w:rPr>
              <w:t>Armonización con el Plan Estratégico y el Plan de Funcionamiento</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_Toc121390454 \h </w:instrText>
            </w:r>
            <w:r w:rsidR="00054391" w:rsidRPr="003C3066">
              <w:rPr>
                <w:noProof/>
                <w:webHidden/>
              </w:rPr>
            </w:r>
            <w:r w:rsidR="00054391" w:rsidRPr="003C3066">
              <w:rPr>
                <w:noProof/>
                <w:webHidden/>
              </w:rPr>
              <w:fldChar w:fldCharType="separate"/>
            </w:r>
            <w:r w:rsidR="00BE494E" w:rsidRPr="003C3066">
              <w:rPr>
                <w:noProof/>
                <w:webHidden/>
              </w:rPr>
              <w:t>2</w:t>
            </w:r>
            <w:r w:rsidR="00054391" w:rsidRPr="003C3066">
              <w:rPr>
                <w:noProof/>
                <w:webHidden/>
              </w:rPr>
              <w:fldChar w:fldCharType="end"/>
            </w:r>
          </w:hyperlink>
        </w:p>
        <w:p w14:paraId="4C9E356F" w14:textId="20517A87"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55" w:history="1">
            <w:r w:rsidR="00054391" w:rsidRPr="003C3066">
              <w:rPr>
                <w:noProof/>
                <w:color w:val="0000FF"/>
              </w:rPr>
              <w:t>III.</w:t>
            </w:r>
            <w:r w:rsidR="00054391" w:rsidRPr="003C3066">
              <w:rPr>
                <w:rFonts w:asciiTheme="minorHAnsi" w:eastAsiaTheme="minorEastAsia" w:hAnsiTheme="minorHAnsi" w:cstheme="minorBidi"/>
                <w:noProof/>
                <w:sz w:val="22"/>
                <w:szCs w:val="22"/>
              </w:rPr>
              <w:tab/>
            </w:r>
            <w:r w:rsidR="00054391" w:rsidRPr="003C3066">
              <w:rPr>
                <w:noProof/>
                <w:color w:val="0000FF"/>
              </w:rPr>
              <w:t>Escenarios de gasto máximo</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_Toc121390455 \h </w:instrText>
            </w:r>
            <w:r w:rsidR="00054391" w:rsidRPr="003C3066">
              <w:rPr>
                <w:noProof/>
                <w:webHidden/>
              </w:rPr>
            </w:r>
            <w:r w:rsidR="00054391" w:rsidRPr="003C3066">
              <w:rPr>
                <w:noProof/>
                <w:webHidden/>
              </w:rPr>
              <w:fldChar w:fldCharType="separate"/>
            </w:r>
            <w:r w:rsidR="00BE494E" w:rsidRPr="003C3066">
              <w:rPr>
                <w:noProof/>
                <w:webHidden/>
              </w:rPr>
              <w:t>2</w:t>
            </w:r>
            <w:r w:rsidR="00054391" w:rsidRPr="003C3066">
              <w:rPr>
                <w:noProof/>
                <w:webHidden/>
              </w:rPr>
              <w:fldChar w:fldCharType="end"/>
            </w:r>
          </w:hyperlink>
        </w:p>
        <w:p w14:paraId="6C74D1B1" w14:textId="2A1AFA17"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56" w:history="1">
            <w:r w:rsidR="00054391" w:rsidRPr="003C3066">
              <w:rPr>
                <w:noProof/>
                <w:color w:val="0000FF"/>
              </w:rPr>
              <w:t>IV.</w:t>
            </w:r>
            <w:r w:rsidR="00054391" w:rsidRPr="003C3066">
              <w:rPr>
                <w:rFonts w:asciiTheme="minorHAnsi" w:eastAsiaTheme="minorEastAsia" w:hAnsiTheme="minorHAnsi" w:cstheme="minorBidi"/>
                <w:noProof/>
                <w:sz w:val="22"/>
                <w:szCs w:val="22"/>
              </w:rPr>
              <w:tab/>
            </w:r>
            <w:r w:rsidR="00054391" w:rsidRPr="003C3066">
              <w:rPr>
                <w:noProof/>
                <w:color w:val="0000FF"/>
              </w:rPr>
              <w:t>Propuesta del Secretario General</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_Toc121390456 \h </w:instrText>
            </w:r>
            <w:r w:rsidR="00054391" w:rsidRPr="003C3066">
              <w:rPr>
                <w:noProof/>
                <w:webHidden/>
              </w:rPr>
            </w:r>
            <w:r w:rsidR="00054391" w:rsidRPr="003C3066">
              <w:rPr>
                <w:noProof/>
                <w:webHidden/>
              </w:rPr>
              <w:fldChar w:fldCharType="separate"/>
            </w:r>
            <w:r w:rsidR="00BE494E" w:rsidRPr="003C3066">
              <w:rPr>
                <w:noProof/>
                <w:webHidden/>
              </w:rPr>
              <w:t>4</w:t>
            </w:r>
            <w:r w:rsidR="00054391" w:rsidRPr="003C3066">
              <w:rPr>
                <w:noProof/>
                <w:webHidden/>
              </w:rPr>
              <w:fldChar w:fldCharType="end"/>
            </w:r>
          </w:hyperlink>
        </w:p>
        <w:p w14:paraId="589D627E" w14:textId="2470116C"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57" w:history="1">
            <w:r w:rsidR="00054391" w:rsidRPr="003C3066">
              <w:rPr>
                <w:noProof/>
                <w:color w:val="0000FF"/>
              </w:rPr>
              <w:t>V.</w:t>
            </w:r>
            <w:r w:rsidR="00054391" w:rsidRPr="003C3066">
              <w:rPr>
                <w:rFonts w:asciiTheme="minorHAnsi" w:eastAsiaTheme="minorEastAsia" w:hAnsiTheme="minorHAnsi" w:cstheme="minorBidi"/>
                <w:noProof/>
                <w:sz w:val="22"/>
                <w:szCs w:val="22"/>
              </w:rPr>
              <w:tab/>
            </w:r>
            <w:r w:rsidR="00054391" w:rsidRPr="003C3066">
              <w:rPr>
                <w:noProof/>
                <w:color w:val="0000FF"/>
              </w:rPr>
              <w:t>Escenario de crecimiento nominal cero (ZNG)</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_Toc121390457 \h </w:instrText>
            </w:r>
            <w:r w:rsidR="00054391" w:rsidRPr="003C3066">
              <w:rPr>
                <w:noProof/>
                <w:webHidden/>
              </w:rPr>
            </w:r>
            <w:r w:rsidR="00054391" w:rsidRPr="003C3066">
              <w:rPr>
                <w:noProof/>
                <w:webHidden/>
              </w:rPr>
              <w:fldChar w:fldCharType="separate"/>
            </w:r>
            <w:r w:rsidR="00BE494E" w:rsidRPr="003C3066">
              <w:rPr>
                <w:noProof/>
                <w:webHidden/>
              </w:rPr>
              <w:t>9</w:t>
            </w:r>
            <w:r w:rsidR="00054391" w:rsidRPr="003C3066">
              <w:rPr>
                <w:noProof/>
                <w:webHidden/>
              </w:rPr>
              <w:fldChar w:fldCharType="end"/>
            </w:r>
          </w:hyperlink>
        </w:p>
        <w:p w14:paraId="28D86AE5" w14:textId="0C0FF660"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58" w:history="1">
            <w:r w:rsidR="00054391" w:rsidRPr="003C3066">
              <w:rPr>
                <w:noProof/>
                <w:color w:val="0000FF"/>
              </w:rPr>
              <w:t>VI.</w:t>
            </w:r>
            <w:r w:rsidR="00054391" w:rsidRPr="003C3066">
              <w:rPr>
                <w:rFonts w:asciiTheme="minorHAnsi" w:eastAsiaTheme="minorEastAsia" w:hAnsiTheme="minorHAnsi" w:cstheme="minorBidi"/>
                <w:noProof/>
                <w:sz w:val="22"/>
                <w:szCs w:val="22"/>
              </w:rPr>
              <w:tab/>
            </w:r>
            <w:r w:rsidR="00054391" w:rsidRPr="003C3066">
              <w:rPr>
                <w:noProof/>
                <w:color w:val="0000FF"/>
              </w:rPr>
              <w:t>Escenarios máximos de gasto por objetivo estratégico</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_Toc121390458 \h </w:instrText>
            </w:r>
            <w:r w:rsidR="00054391" w:rsidRPr="003C3066">
              <w:rPr>
                <w:noProof/>
                <w:webHidden/>
              </w:rPr>
            </w:r>
            <w:r w:rsidR="00054391" w:rsidRPr="003C3066">
              <w:rPr>
                <w:noProof/>
                <w:webHidden/>
              </w:rPr>
              <w:fldChar w:fldCharType="separate"/>
            </w:r>
            <w:r w:rsidR="00BE494E" w:rsidRPr="003C3066">
              <w:rPr>
                <w:noProof/>
                <w:webHidden/>
              </w:rPr>
              <w:t>11</w:t>
            </w:r>
            <w:r w:rsidR="00054391" w:rsidRPr="003C3066">
              <w:rPr>
                <w:noProof/>
                <w:webHidden/>
              </w:rPr>
              <w:fldChar w:fldCharType="end"/>
            </w:r>
          </w:hyperlink>
        </w:p>
        <w:p w14:paraId="118994FB" w14:textId="51E05F56"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59" w:history="1">
            <w:r w:rsidR="00054391" w:rsidRPr="003C3066">
              <w:rPr>
                <w:noProof/>
                <w:color w:val="0000FF"/>
              </w:rPr>
              <w:t>VII.</w:t>
            </w:r>
            <w:r w:rsidR="00054391" w:rsidRPr="003C3066">
              <w:rPr>
                <w:rFonts w:asciiTheme="minorHAnsi" w:eastAsiaTheme="minorEastAsia" w:hAnsiTheme="minorHAnsi" w:cstheme="minorBidi"/>
                <w:noProof/>
                <w:sz w:val="22"/>
                <w:szCs w:val="22"/>
              </w:rPr>
              <w:tab/>
            </w:r>
            <w:r w:rsidR="00054391" w:rsidRPr="003C3066">
              <w:rPr>
                <w:noProof/>
                <w:color w:val="0000FF"/>
              </w:rPr>
              <w:t>Impacto de la inflación</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_Toc121390459 \h </w:instrText>
            </w:r>
            <w:r w:rsidR="00054391" w:rsidRPr="003C3066">
              <w:rPr>
                <w:noProof/>
                <w:webHidden/>
              </w:rPr>
            </w:r>
            <w:r w:rsidR="00054391" w:rsidRPr="003C3066">
              <w:rPr>
                <w:noProof/>
                <w:webHidden/>
              </w:rPr>
              <w:fldChar w:fldCharType="separate"/>
            </w:r>
            <w:r w:rsidR="00BE494E" w:rsidRPr="003C3066">
              <w:rPr>
                <w:noProof/>
                <w:webHidden/>
              </w:rPr>
              <w:t>13</w:t>
            </w:r>
            <w:r w:rsidR="00054391" w:rsidRPr="003C3066">
              <w:rPr>
                <w:noProof/>
                <w:webHidden/>
              </w:rPr>
              <w:fldChar w:fldCharType="end"/>
            </w:r>
          </w:hyperlink>
        </w:p>
        <w:p w14:paraId="66252717" w14:textId="0E6A5E50"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0" w:history="1">
            <w:r w:rsidR="00054391" w:rsidRPr="003C3066">
              <w:rPr>
                <w:noProof/>
                <w:color w:val="0000FF"/>
              </w:rPr>
              <w:t>VIII.</w:t>
            </w:r>
            <w:r w:rsidR="00054391" w:rsidRPr="003C3066">
              <w:rPr>
                <w:rFonts w:asciiTheme="minorHAnsi" w:eastAsiaTheme="minorEastAsia" w:hAnsiTheme="minorHAnsi" w:cstheme="minorBidi"/>
                <w:noProof/>
                <w:sz w:val="22"/>
                <w:szCs w:val="22"/>
              </w:rPr>
              <w:tab/>
            </w:r>
            <w:r w:rsidR="00054391" w:rsidRPr="003C3066">
              <w:rPr>
                <w:noProof/>
                <w:color w:val="0000FF"/>
              </w:rPr>
              <w:t>Costo prorrateado</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_Toc121390460 \h </w:instrText>
            </w:r>
            <w:r w:rsidR="00054391" w:rsidRPr="003C3066">
              <w:rPr>
                <w:noProof/>
                <w:webHidden/>
              </w:rPr>
            </w:r>
            <w:r w:rsidR="00054391" w:rsidRPr="003C3066">
              <w:rPr>
                <w:noProof/>
                <w:webHidden/>
              </w:rPr>
              <w:fldChar w:fldCharType="separate"/>
            </w:r>
            <w:r w:rsidR="00BE494E" w:rsidRPr="003C3066">
              <w:rPr>
                <w:noProof/>
                <w:webHidden/>
              </w:rPr>
              <w:t>15</w:t>
            </w:r>
            <w:r w:rsidR="00054391" w:rsidRPr="003C3066">
              <w:rPr>
                <w:noProof/>
                <w:webHidden/>
              </w:rPr>
              <w:fldChar w:fldCharType="end"/>
            </w:r>
          </w:hyperlink>
        </w:p>
        <w:p w14:paraId="3A598941" w14:textId="134C33DE"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1" w:history="1">
            <w:r w:rsidR="00054391" w:rsidRPr="003C3066">
              <w:rPr>
                <w:noProof/>
                <w:color w:val="0000FF"/>
              </w:rPr>
              <w:t>IX.</w:t>
            </w:r>
            <w:r w:rsidR="00054391" w:rsidRPr="003C3066">
              <w:rPr>
                <w:rFonts w:asciiTheme="minorHAnsi" w:eastAsiaTheme="minorEastAsia" w:hAnsiTheme="minorHAnsi" w:cstheme="minorBidi"/>
                <w:noProof/>
                <w:sz w:val="22"/>
                <w:szCs w:val="22"/>
              </w:rPr>
              <w:tab/>
            </w:r>
            <w:r w:rsidR="00054391" w:rsidRPr="003C3066">
              <w:rPr>
                <w:noProof/>
                <w:color w:val="0000FF"/>
              </w:rPr>
              <w:t>Economías y eficiencias</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_Toc121390461 \h </w:instrText>
            </w:r>
            <w:r w:rsidR="00054391" w:rsidRPr="003C3066">
              <w:rPr>
                <w:noProof/>
                <w:webHidden/>
              </w:rPr>
            </w:r>
            <w:r w:rsidR="00054391" w:rsidRPr="003C3066">
              <w:rPr>
                <w:noProof/>
                <w:webHidden/>
              </w:rPr>
              <w:fldChar w:fldCharType="separate"/>
            </w:r>
            <w:r w:rsidR="00BE494E" w:rsidRPr="003C3066">
              <w:rPr>
                <w:noProof/>
                <w:webHidden/>
              </w:rPr>
              <w:t>17</w:t>
            </w:r>
            <w:r w:rsidR="00054391" w:rsidRPr="003C3066">
              <w:rPr>
                <w:noProof/>
                <w:webHidden/>
              </w:rPr>
              <w:fldChar w:fldCharType="end"/>
            </w:r>
          </w:hyperlink>
        </w:p>
        <w:p w14:paraId="17F34BAC" w14:textId="6FDD4527"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2" w:history="1">
            <w:r w:rsidR="00054391" w:rsidRPr="003C3066">
              <w:rPr>
                <w:noProof/>
                <w:color w:val="0000FF"/>
              </w:rPr>
              <w:t>X.</w:t>
            </w:r>
            <w:r w:rsidR="00054391" w:rsidRPr="003C3066">
              <w:rPr>
                <w:rFonts w:asciiTheme="minorHAnsi" w:eastAsiaTheme="minorEastAsia" w:hAnsiTheme="minorHAnsi" w:cstheme="minorBidi"/>
                <w:noProof/>
                <w:sz w:val="22"/>
                <w:szCs w:val="22"/>
              </w:rPr>
              <w:tab/>
            </w:r>
            <w:r w:rsidR="00054391" w:rsidRPr="003C3066">
              <w:rPr>
                <w:noProof/>
                <w:color w:val="0000FF"/>
              </w:rPr>
              <w:t>Análisis por objeto de gasto</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_Toc121390462 \h </w:instrText>
            </w:r>
            <w:r w:rsidR="00054391" w:rsidRPr="003C3066">
              <w:rPr>
                <w:noProof/>
                <w:webHidden/>
              </w:rPr>
            </w:r>
            <w:r w:rsidR="00054391" w:rsidRPr="003C3066">
              <w:rPr>
                <w:noProof/>
                <w:webHidden/>
              </w:rPr>
              <w:fldChar w:fldCharType="separate"/>
            </w:r>
            <w:r w:rsidR="00BE494E" w:rsidRPr="003C3066">
              <w:rPr>
                <w:noProof/>
                <w:webHidden/>
              </w:rPr>
              <w:t>18</w:t>
            </w:r>
            <w:r w:rsidR="00054391" w:rsidRPr="003C3066">
              <w:rPr>
                <w:noProof/>
                <w:webHidden/>
              </w:rPr>
              <w:fldChar w:fldCharType="end"/>
            </w:r>
          </w:hyperlink>
        </w:p>
        <w:p w14:paraId="6BAABCC7" w14:textId="1A9AF6EE"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3" w:history="1">
            <w:r w:rsidR="00054391" w:rsidRPr="003C3066">
              <w:rPr>
                <w:noProof/>
                <w:color w:val="0000FF"/>
              </w:rPr>
              <w:t>XI.</w:t>
            </w:r>
            <w:r w:rsidR="00054391" w:rsidRPr="003C3066">
              <w:rPr>
                <w:rFonts w:asciiTheme="minorHAnsi" w:eastAsiaTheme="minorEastAsia" w:hAnsiTheme="minorHAnsi" w:cstheme="minorBidi"/>
                <w:noProof/>
                <w:sz w:val="22"/>
                <w:szCs w:val="22"/>
              </w:rPr>
              <w:tab/>
            </w:r>
            <w:r w:rsidR="00054391" w:rsidRPr="003C3066">
              <w:rPr>
                <w:noProof/>
                <w:color w:val="0000FF"/>
              </w:rPr>
              <w:t>Otros recursos ordinarios</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_Toc121390463 \h </w:instrText>
            </w:r>
            <w:r w:rsidR="00054391" w:rsidRPr="003C3066">
              <w:rPr>
                <w:noProof/>
                <w:webHidden/>
              </w:rPr>
            </w:r>
            <w:r w:rsidR="00054391" w:rsidRPr="003C3066">
              <w:rPr>
                <w:noProof/>
                <w:webHidden/>
              </w:rPr>
              <w:fldChar w:fldCharType="separate"/>
            </w:r>
            <w:r w:rsidR="00BE494E" w:rsidRPr="003C3066">
              <w:rPr>
                <w:noProof/>
                <w:webHidden/>
              </w:rPr>
              <w:t>19</w:t>
            </w:r>
            <w:r w:rsidR="00054391" w:rsidRPr="003C3066">
              <w:rPr>
                <w:noProof/>
                <w:webHidden/>
              </w:rPr>
              <w:fldChar w:fldCharType="end"/>
            </w:r>
          </w:hyperlink>
        </w:p>
        <w:p w14:paraId="10192072" w14:textId="7D6349F7"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4" w:history="1">
            <w:r w:rsidR="00054391" w:rsidRPr="003C3066">
              <w:rPr>
                <w:noProof/>
                <w:color w:val="0000FF"/>
              </w:rPr>
              <w:t>XII.</w:t>
            </w:r>
            <w:r w:rsidR="00054391" w:rsidRPr="003C3066">
              <w:rPr>
                <w:rFonts w:asciiTheme="minorHAnsi" w:eastAsiaTheme="minorEastAsia" w:hAnsiTheme="minorHAnsi" w:cstheme="minorBidi"/>
                <w:noProof/>
                <w:sz w:val="22"/>
                <w:szCs w:val="22"/>
              </w:rPr>
              <w:tab/>
            </w:r>
            <w:r w:rsidR="00054391" w:rsidRPr="003C3066">
              <w:rPr>
                <w:noProof/>
                <w:color w:val="0000FF"/>
              </w:rPr>
              <w:t>Otros recursos extrapresupuestarios</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_Toc121390464 \h </w:instrText>
            </w:r>
            <w:r w:rsidR="00054391" w:rsidRPr="003C3066">
              <w:rPr>
                <w:noProof/>
                <w:webHidden/>
              </w:rPr>
            </w:r>
            <w:r w:rsidR="00054391" w:rsidRPr="003C3066">
              <w:rPr>
                <w:noProof/>
                <w:webHidden/>
              </w:rPr>
              <w:fldChar w:fldCharType="separate"/>
            </w:r>
            <w:r w:rsidR="00BE494E" w:rsidRPr="003C3066">
              <w:rPr>
                <w:noProof/>
                <w:webHidden/>
              </w:rPr>
              <w:t>20</w:t>
            </w:r>
            <w:r w:rsidR="00054391" w:rsidRPr="003C3066">
              <w:rPr>
                <w:noProof/>
                <w:webHidden/>
              </w:rPr>
              <w:fldChar w:fldCharType="end"/>
            </w:r>
          </w:hyperlink>
        </w:p>
        <w:p w14:paraId="2EFE7C86" w14:textId="7BB5A486"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5" w:history="1">
            <w:r w:rsidR="00054391" w:rsidRPr="003C3066">
              <w:rPr>
                <w:noProof/>
                <w:color w:val="0000FF"/>
              </w:rPr>
              <w:t>XIII.</w:t>
            </w:r>
            <w:r w:rsidR="00054391" w:rsidRPr="003C3066">
              <w:rPr>
                <w:rFonts w:asciiTheme="minorHAnsi" w:eastAsiaTheme="minorEastAsia" w:hAnsiTheme="minorHAnsi" w:cstheme="minorBidi"/>
                <w:noProof/>
                <w:sz w:val="22"/>
                <w:szCs w:val="22"/>
              </w:rPr>
              <w:tab/>
            </w:r>
            <w:r w:rsidR="00054391" w:rsidRPr="003C3066">
              <w:rPr>
                <w:noProof/>
                <w:color w:val="0000FF"/>
              </w:rPr>
              <w:t>Contribuciones en especie</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_Toc121390465 \h </w:instrText>
            </w:r>
            <w:r w:rsidR="00054391" w:rsidRPr="003C3066">
              <w:rPr>
                <w:noProof/>
                <w:webHidden/>
              </w:rPr>
            </w:r>
            <w:r w:rsidR="00054391" w:rsidRPr="003C3066">
              <w:rPr>
                <w:noProof/>
                <w:webHidden/>
              </w:rPr>
              <w:fldChar w:fldCharType="separate"/>
            </w:r>
            <w:r w:rsidR="00BE494E" w:rsidRPr="003C3066">
              <w:rPr>
                <w:noProof/>
                <w:webHidden/>
              </w:rPr>
              <w:t>21</w:t>
            </w:r>
            <w:r w:rsidR="00054391" w:rsidRPr="003C3066">
              <w:rPr>
                <w:noProof/>
                <w:webHidden/>
              </w:rPr>
              <w:fldChar w:fldCharType="end"/>
            </w:r>
          </w:hyperlink>
        </w:p>
        <w:p w14:paraId="73FBE29D" w14:textId="2D92294F"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6" w:history="1">
            <w:r w:rsidR="00054391" w:rsidRPr="003C3066">
              <w:rPr>
                <w:noProof/>
                <w:color w:val="0000FF"/>
              </w:rPr>
              <w:t>XIV.</w:t>
            </w:r>
            <w:r w:rsidR="00054391" w:rsidRPr="003C3066">
              <w:rPr>
                <w:rFonts w:asciiTheme="minorHAnsi" w:eastAsiaTheme="minorEastAsia" w:hAnsiTheme="minorHAnsi" w:cstheme="minorBidi"/>
                <w:noProof/>
                <w:sz w:val="22"/>
                <w:szCs w:val="22"/>
              </w:rPr>
              <w:tab/>
            </w:r>
            <w:r w:rsidR="006665E0">
              <w:rPr>
                <w:noProof/>
                <w:color w:val="0000FF"/>
              </w:rPr>
              <w:t xml:space="preserve">Obligaciones del seguro médico </w:t>
            </w:r>
            <w:r w:rsidR="005B3CAD">
              <w:rPr>
                <w:noProof/>
                <w:color w:val="0000FF"/>
              </w:rPr>
              <w:t>después de la separación del servicio</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_Toc121390466 \h </w:instrText>
            </w:r>
            <w:r w:rsidR="00054391" w:rsidRPr="003C3066">
              <w:rPr>
                <w:noProof/>
                <w:webHidden/>
              </w:rPr>
            </w:r>
            <w:r w:rsidR="00054391" w:rsidRPr="003C3066">
              <w:rPr>
                <w:noProof/>
                <w:webHidden/>
              </w:rPr>
              <w:fldChar w:fldCharType="separate"/>
            </w:r>
            <w:r w:rsidR="00BE494E" w:rsidRPr="003C3066">
              <w:rPr>
                <w:noProof/>
                <w:webHidden/>
              </w:rPr>
              <w:t>22</w:t>
            </w:r>
            <w:r w:rsidR="00054391" w:rsidRPr="003C3066">
              <w:rPr>
                <w:noProof/>
                <w:webHidden/>
              </w:rPr>
              <w:fldChar w:fldCharType="end"/>
            </w:r>
          </w:hyperlink>
        </w:p>
        <w:p w14:paraId="21319B3F" w14:textId="0A7F69CE" w:rsidR="00054391" w:rsidRPr="003C3066" w:rsidRDefault="0097536F" w:rsidP="00054391">
          <w:pPr>
            <w:tabs>
              <w:tab w:val="left" w:pos="660"/>
              <w:tab w:val="right" w:pos="9072"/>
            </w:tabs>
            <w:spacing w:line="480" w:lineRule="auto"/>
            <w:rPr>
              <w:rFonts w:asciiTheme="minorHAnsi" w:eastAsiaTheme="minorEastAsia" w:hAnsiTheme="minorHAnsi" w:cstheme="minorBidi"/>
              <w:noProof/>
              <w:sz w:val="22"/>
              <w:szCs w:val="22"/>
            </w:rPr>
          </w:pPr>
          <w:hyperlink w:anchor="_Toc121390467" w:history="1">
            <w:r w:rsidR="00054391" w:rsidRPr="003C3066">
              <w:rPr>
                <w:noProof/>
                <w:color w:val="0000FF"/>
              </w:rPr>
              <w:t>XV.</w:t>
            </w:r>
            <w:r w:rsidR="00054391" w:rsidRPr="003C3066">
              <w:rPr>
                <w:rFonts w:asciiTheme="minorHAnsi" w:eastAsiaTheme="minorEastAsia" w:hAnsiTheme="minorHAnsi" w:cstheme="minorBidi"/>
                <w:noProof/>
                <w:sz w:val="22"/>
                <w:szCs w:val="22"/>
              </w:rPr>
              <w:tab/>
            </w:r>
            <w:r w:rsidR="00054391" w:rsidRPr="003C3066">
              <w:rPr>
                <w:noProof/>
                <w:color w:val="0000FF"/>
              </w:rPr>
              <w:t>Metodología general</w:t>
            </w:r>
            <w:r w:rsidR="00054391" w:rsidRPr="003C3066">
              <w:rPr>
                <w:noProof/>
                <w:webHidden/>
              </w:rPr>
              <w:tab/>
            </w:r>
            <w:r w:rsidR="00054391" w:rsidRPr="003C3066">
              <w:rPr>
                <w:noProof/>
                <w:webHidden/>
              </w:rPr>
              <w:fldChar w:fldCharType="begin"/>
            </w:r>
            <w:r w:rsidR="00054391" w:rsidRPr="003C3066">
              <w:rPr>
                <w:noProof/>
                <w:webHidden/>
              </w:rPr>
              <w:instrText xml:space="preserve"> PAGEREF _Toc121390467 \h </w:instrText>
            </w:r>
            <w:r w:rsidR="00054391" w:rsidRPr="003C3066">
              <w:rPr>
                <w:noProof/>
                <w:webHidden/>
              </w:rPr>
            </w:r>
            <w:r w:rsidR="00054391" w:rsidRPr="003C3066">
              <w:rPr>
                <w:noProof/>
                <w:webHidden/>
              </w:rPr>
              <w:fldChar w:fldCharType="separate"/>
            </w:r>
            <w:r w:rsidR="00BE494E" w:rsidRPr="003C3066">
              <w:rPr>
                <w:noProof/>
                <w:webHidden/>
              </w:rPr>
              <w:t>22</w:t>
            </w:r>
            <w:r w:rsidR="00054391" w:rsidRPr="003C3066">
              <w:rPr>
                <w:noProof/>
                <w:webHidden/>
              </w:rPr>
              <w:fldChar w:fldCharType="end"/>
            </w:r>
          </w:hyperlink>
        </w:p>
        <w:p w14:paraId="071D7D42" w14:textId="77777777" w:rsidR="00054391" w:rsidRPr="003C3066" w:rsidRDefault="00054391" w:rsidP="00054391">
          <w:pPr>
            <w:tabs>
              <w:tab w:val="clear" w:pos="1134"/>
              <w:tab w:val="left" w:pos="1418"/>
            </w:tabs>
            <w:spacing w:after="200"/>
            <w:jc w:val="left"/>
            <w:rPr>
              <w:rFonts w:eastAsiaTheme="minorEastAsia" w:cstheme="minorBidi"/>
              <w:szCs w:val="22"/>
              <w:lang w:eastAsia="zh-CN"/>
            </w:rPr>
          </w:pPr>
          <w:r w:rsidRPr="003C3066">
            <w:rPr>
              <w:rFonts w:eastAsiaTheme="minorEastAsia" w:cstheme="minorBidi"/>
              <w:szCs w:val="22"/>
            </w:rPr>
            <w:fldChar w:fldCharType="end"/>
          </w:r>
        </w:p>
      </w:sdtContent>
    </w:sdt>
    <w:p w14:paraId="115AF764" w14:textId="77777777" w:rsidR="00054391" w:rsidRPr="003C3066" w:rsidRDefault="00054391" w:rsidP="00054391">
      <w:pPr>
        <w:tabs>
          <w:tab w:val="clear" w:pos="1134"/>
          <w:tab w:val="left" w:pos="1418"/>
        </w:tabs>
        <w:spacing w:after="200"/>
        <w:jc w:val="left"/>
        <w:rPr>
          <w:rFonts w:asciiTheme="majorHAnsi" w:eastAsiaTheme="majorEastAsia" w:hAnsiTheme="majorHAnsi" w:cstheme="majorBidi"/>
          <w:b/>
          <w:color w:val="000000" w:themeColor="text1"/>
          <w:sz w:val="28"/>
          <w:szCs w:val="26"/>
          <w:lang w:eastAsia="zh-CN"/>
        </w:rPr>
      </w:pPr>
      <w:r w:rsidRPr="003C3066">
        <w:rPr>
          <w:rFonts w:eastAsiaTheme="minorEastAsia" w:cstheme="minorBidi"/>
          <w:szCs w:val="22"/>
        </w:rPr>
        <w:lastRenderedPageBreak/>
        <w:br w:type="page"/>
      </w:r>
    </w:p>
    <w:p w14:paraId="69D16375" w14:textId="77777777" w:rsidR="00054391" w:rsidRPr="003C3066" w:rsidRDefault="00054391">
      <w:pPr>
        <w:keepNext/>
        <w:keepLines/>
        <w:numPr>
          <w:ilvl w:val="0"/>
          <w:numId w:val="2"/>
        </w:numPr>
        <w:spacing w:before="360" w:after="120"/>
        <w:ind w:left="1134" w:hanging="1134"/>
        <w:jc w:val="left"/>
        <w:outlineLvl w:val="0"/>
        <w:rPr>
          <w:rFonts w:eastAsiaTheme="majorEastAsia" w:cstheme="majorBidi"/>
          <w:b/>
          <w:bCs/>
        </w:rPr>
      </w:pPr>
      <w:bookmarkStart w:id="0" w:name="_Toc121390453"/>
      <w:r>
        <w:rPr>
          <w:b/>
        </w:rPr>
        <w:lastRenderedPageBreak/>
        <w:t>Antecedentes</w:t>
      </w:r>
      <w:bookmarkEnd w:id="0"/>
    </w:p>
    <w:p w14:paraId="20E17F2F" w14:textId="56AEC0E5" w:rsidR="00054391" w:rsidRPr="00755E85" w:rsidRDefault="0097536F" w:rsidP="00CC251B">
      <w:pPr>
        <w:numPr>
          <w:ilvl w:val="0"/>
          <w:numId w:val="1"/>
        </w:numPr>
        <w:tabs>
          <w:tab w:val="left" w:pos="1701"/>
        </w:tabs>
        <w:spacing w:before="240" w:after="240"/>
        <w:ind w:left="0" w:firstLine="0"/>
        <w:jc w:val="left"/>
        <w:rPr>
          <w:rFonts w:eastAsiaTheme="minorHAnsi" w:cstheme="minorBidi"/>
          <w:lang w:val="es-ES"/>
        </w:rPr>
      </w:pPr>
      <w:hyperlink r:id="rId12" w:anchor="page=111" w:history="1">
        <w:r w:rsidR="00054391" w:rsidRPr="00755E85">
          <w:rPr>
            <w:rStyle w:val="Hyperlink"/>
            <w:rFonts w:eastAsiaTheme="minorHAnsi" w:cstheme="minorBidi"/>
            <w:lang w:val="es-ES"/>
          </w:rPr>
          <w:t>En la Decisión 11 (EC-75)</w:t>
        </w:r>
      </w:hyperlink>
      <w:r w:rsidR="00054391" w:rsidRPr="00755E85">
        <w:rPr>
          <w:rFonts w:eastAsiaTheme="minorHAnsi" w:cstheme="minorBidi"/>
          <w:lang w:val="es-ES"/>
        </w:rPr>
        <w:t xml:space="preserve"> — Proceso de preparación y de elementos de los gastos máximos para el decimonoveno </w:t>
      </w:r>
      <w:r w:rsidR="00C52B44">
        <w:rPr>
          <w:rFonts w:eastAsiaTheme="minorHAnsi" w:cstheme="minorBidi"/>
          <w:lang w:val="es-ES"/>
        </w:rPr>
        <w:t>ejercicio económico</w:t>
      </w:r>
      <w:r w:rsidR="00054391" w:rsidRPr="00755E85">
        <w:rPr>
          <w:rFonts w:eastAsiaTheme="minorHAnsi" w:cstheme="minorBidi"/>
          <w:lang w:val="es-ES"/>
        </w:rPr>
        <w:t xml:space="preserve"> (2024-2027), se pidió al Secretario General de la Organización Meteorológica Mundial (OMM) que </w:t>
      </w:r>
      <w:r w:rsidR="00B35FFE">
        <w:rPr>
          <w:rFonts w:eastAsiaTheme="minorHAnsi" w:cstheme="minorBidi"/>
          <w:lang w:val="es-ES"/>
        </w:rPr>
        <w:t>“</w:t>
      </w:r>
      <w:r w:rsidR="00054391" w:rsidRPr="00755E85">
        <w:rPr>
          <w:rFonts w:eastAsiaTheme="minorHAnsi" w:cstheme="minorBidi"/>
          <w:lang w:val="es-ES"/>
        </w:rPr>
        <w:t>elaborara los gastos máximos para el decimonoveno período financiero (2024-2027), utilizando un valor de referencia de crecimiento nominal,</w:t>
      </w:r>
      <w:r w:rsidR="00B35FFE">
        <w:rPr>
          <w:rFonts w:eastAsiaTheme="minorHAnsi" w:cstheme="minorBidi"/>
          <w:lang w:val="es-ES"/>
        </w:rPr>
        <w:t xml:space="preserve"> </w:t>
      </w:r>
      <w:r w:rsidR="00054391" w:rsidRPr="00755E85">
        <w:rPr>
          <w:rFonts w:eastAsiaTheme="minorHAnsi" w:cstheme="minorBidi"/>
          <w:lang w:val="es-ES"/>
        </w:rPr>
        <w:t>justificando lo que se incluye y los efectos de lo que no se incluye. A partir del crecimiento nominal cero de referencia, deberían presentarse escenarios adicionales, entre ellos, el nivel de crecimiento nominal cero, que también justificará la inclusión de los elementos y el impacto de la no inclusión</w:t>
      </w:r>
      <w:r w:rsidR="00B35FFE">
        <w:rPr>
          <w:rFonts w:eastAsiaTheme="minorHAnsi" w:cstheme="minorBidi"/>
          <w:lang w:val="es-ES"/>
        </w:rPr>
        <w:t>”</w:t>
      </w:r>
      <w:r w:rsidR="00054391" w:rsidRPr="00755E85">
        <w:rPr>
          <w:rFonts w:eastAsiaTheme="minorHAnsi" w:cstheme="minorBidi"/>
          <w:lang w:val="es-ES"/>
        </w:rPr>
        <w:t>.</w:t>
      </w:r>
    </w:p>
    <w:p w14:paraId="05D8F556" w14:textId="77777777" w:rsidR="00054391" w:rsidRPr="00755E85" w:rsidRDefault="00054391">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Las propuestas de gastos máximas solicitadas se analizarán más detalladamente en la 42ª reunión del Comité Consultivo de Finanzas (FINAC) y en la 76ª reunión del Consejo Ejecutivo, en febrero de 2023, con el fin de coordinar las actividades destinadas a armonizar el Plan Estratégico que aprobará el Congreso con las necesidades financieras conexas, velando por que las prioridades de los Miembros se tengan debidamente en cuenta en la estimación de los gastos máximos y permitan un proceso transparente de adopción de decisiones.</w:t>
      </w:r>
    </w:p>
    <w:p w14:paraId="6F488DC0" w14:textId="77777777" w:rsidR="00054391" w:rsidRPr="00755E85" w:rsidRDefault="00054391">
      <w:pPr>
        <w:keepNext/>
        <w:keepLines/>
        <w:numPr>
          <w:ilvl w:val="0"/>
          <w:numId w:val="2"/>
        </w:numPr>
        <w:spacing w:before="360" w:after="120"/>
        <w:ind w:left="1134" w:hanging="1134"/>
        <w:jc w:val="left"/>
        <w:outlineLvl w:val="0"/>
        <w:rPr>
          <w:rFonts w:eastAsiaTheme="majorEastAsia" w:cstheme="majorBidi"/>
          <w:b/>
          <w:bCs/>
          <w:lang w:val="es-ES" w:eastAsia="zh-CN"/>
        </w:rPr>
      </w:pPr>
      <w:bookmarkStart w:id="1" w:name="_Toc121390454"/>
      <w:r w:rsidRPr="00755E85">
        <w:rPr>
          <w:rFonts w:eastAsiaTheme="majorEastAsia" w:cstheme="majorBidi"/>
          <w:b/>
          <w:lang w:val="es-ES"/>
        </w:rPr>
        <w:t>Armonización con el Plan Estratégico y el Plan de Funcionamiento</w:t>
      </w:r>
      <w:bookmarkEnd w:id="1"/>
    </w:p>
    <w:p w14:paraId="4D72F0B7" w14:textId="18E2E292" w:rsidR="00054391" w:rsidRPr="00755E85" w:rsidRDefault="00054391">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La preparación del Plan Estratégico y del Plan de Funcionamiento y la elaboración de las estimaciones máximas de gastos y los presupuestos bienales son procesos plenamente integrados, garantizando así la aplicación del enfoque de presupuestación basada en los resultados. El Plan de Funcionamiento proporciona la descripción programática de los resultados que la Organización deberá cumplir plenamente con los objetivos estratégicos y las esferas prioritarias definidas en el Plan Estratégico para 2024-2027, mientras que el presupuesto cuantifica y asigna recursos estratégicamente para cumplir esos resultados, limitado por el nivel de los gastos máximos para cada escenario.</w:t>
      </w:r>
    </w:p>
    <w:p w14:paraId="4D8980F5" w14:textId="2B32EDDC" w:rsidR="00054391" w:rsidRPr="00755E85" w:rsidRDefault="00054391">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El nivel de gastos máximos propuesto, además de presentarse </w:t>
      </w:r>
      <w:r w:rsidR="00807EFC">
        <w:rPr>
          <w:rFonts w:eastAsiaTheme="minorHAnsi" w:cstheme="minorBidi"/>
          <w:lang w:val="es-ES"/>
        </w:rPr>
        <w:t xml:space="preserve">y prepararse </w:t>
      </w:r>
      <w:r w:rsidRPr="00755E85">
        <w:rPr>
          <w:rFonts w:eastAsiaTheme="minorHAnsi" w:cstheme="minorBidi"/>
          <w:lang w:val="es-ES"/>
        </w:rPr>
        <w:t xml:space="preserve">en </w:t>
      </w:r>
      <w:r w:rsidR="00807EFC">
        <w:rPr>
          <w:rFonts w:eastAsiaTheme="minorHAnsi" w:cstheme="minorBidi"/>
          <w:lang w:val="es-ES"/>
        </w:rPr>
        <w:t xml:space="preserve">un </w:t>
      </w:r>
      <w:r w:rsidRPr="00755E85">
        <w:rPr>
          <w:rFonts w:eastAsiaTheme="minorHAnsi" w:cstheme="minorBidi"/>
          <w:lang w:val="es-ES"/>
        </w:rPr>
        <w:t>formato conforme al marco lógico del Plan Estratégico para 2024-2027 (Cg19/Doc. 3.x), se relaciona con el Plan de Funcionamiento consolidando, en cada escenario propuesto, el costo estimado de entrega de los resultados definidos en el Plan de Funcionamiento y las correspondientes necesidades de personal al nivel de los objetivos estratégicos. La asignación de recursos se basa en un proceso de priorización que se centra en las expectativas y prioridades de los Miembros, aunque está limitado por los máximos límites de gasto impuestos en cada escenario. El Plan de Funcionamiento para 2024-2027 (Cg-19/INF. 3.x) orienta el uso programático de los recursos definidos en la propuesta de cuantía máxima de los gastos proporcionando una visión detallada de cada producto final previsto, incluidos los beneficios previstos, los hitos y el impacto programático de limitar la financiación propuesta para aplicar esos productos.</w:t>
      </w:r>
    </w:p>
    <w:p w14:paraId="2F252719" w14:textId="77777777" w:rsidR="00054391" w:rsidRPr="003C3066" w:rsidRDefault="00054391">
      <w:pPr>
        <w:keepNext/>
        <w:keepLines/>
        <w:numPr>
          <w:ilvl w:val="0"/>
          <w:numId w:val="2"/>
        </w:numPr>
        <w:spacing w:before="360" w:after="120"/>
        <w:ind w:left="1134" w:hanging="1134"/>
        <w:jc w:val="left"/>
        <w:outlineLvl w:val="0"/>
        <w:rPr>
          <w:rFonts w:eastAsiaTheme="majorEastAsia" w:cstheme="majorBidi"/>
          <w:b/>
          <w:bCs/>
          <w:lang w:eastAsia="zh-CN"/>
        </w:rPr>
      </w:pPr>
      <w:bookmarkStart w:id="2" w:name="_Toc121390455"/>
      <w:r w:rsidRPr="003C3066">
        <w:rPr>
          <w:rFonts w:eastAsiaTheme="majorEastAsia" w:cstheme="majorBidi"/>
          <w:b/>
        </w:rPr>
        <w:t>Escenarios de gasto máximo</w:t>
      </w:r>
      <w:bookmarkEnd w:id="2"/>
    </w:p>
    <w:p w14:paraId="3F59B9BB" w14:textId="4A68D580" w:rsidR="00054391" w:rsidRPr="00755E85" w:rsidRDefault="00054391">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El Secretario General ha elaborado dos escenarios de gastos máximos: uno que representa un crecimiento nominal cero de referencia y un segundo que representa un aumento del crecimiento nominal cero teniendo en cuenta las necesidades adicionales que se plantean a la OMM. De conformidad con </w:t>
      </w:r>
      <w:hyperlink r:id="rId13" w:anchor="page=111" w:history="1">
        <w:r w:rsidRPr="00755E85">
          <w:rPr>
            <w:rStyle w:val="Hyperlink"/>
            <w:rFonts w:eastAsiaTheme="minorHAnsi" w:cstheme="minorBidi"/>
            <w:lang w:val="es-ES"/>
          </w:rPr>
          <w:t xml:space="preserve"> la Decisión 11 (EC-75), </w:t>
        </w:r>
      </w:hyperlink>
      <w:r w:rsidRPr="00755E85">
        <w:rPr>
          <w:rFonts w:eastAsiaTheme="minorHAnsi" w:cstheme="minorBidi"/>
          <w:lang w:val="es-ES"/>
        </w:rPr>
        <w:t>el presente documento, en combinación con el proyecto de Plan de Funcionamiento, consolida los resultados programáticos que la OMM puede proporcionar con los fondos solicitados y describe lo que no se podría ejecutar debido a las limitaciones de financiación en los dos escenarios presentados... En esos escenarios se tienen en cuenta las repercusiones financieras a largo plazo del entorno socioeconómico actual, la atención a las solicitudes de los Miembros y las prioridades generales expresadas en el Plan Estratégico, y consideran otras economías internas y eficiencias identificadas por la Secretaría. Los dos escenarios identificados se describen a continuación y se cuantifican en el cuadro 1:</w:t>
      </w:r>
    </w:p>
    <w:p w14:paraId="703717FE" w14:textId="77777777" w:rsidR="00054391" w:rsidRPr="00755E85" w:rsidRDefault="00054391" w:rsidP="00054391">
      <w:pPr>
        <w:tabs>
          <w:tab w:val="clear" w:pos="1134"/>
          <w:tab w:val="left" w:pos="1701"/>
        </w:tabs>
        <w:spacing w:before="240" w:after="240" w:line="259" w:lineRule="auto"/>
        <w:ind w:left="142"/>
        <w:contextualSpacing/>
        <w:rPr>
          <w:rFonts w:eastAsiaTheme="minorHAnsi" w:cstheme="minorBidi"/>
          <w:lang w:val="es-ES"/>
        </w:rPr>
      </w:pPr>
    </w:p>
    <w:p w14:paraId="3F14B3CE" w14:textId="4FAC29B1" w:rsidR="00D028ED" w:rsidRPr="00755E85" w:rsidRDefault="00D028ED">
      <w:pPr>
        <w:numPr>
          <w:ilvl w:val="0"/>
          <w:numId w:val="3"/>
        </w:numPr>
        <w:tabs>
          <w:tab w:val="clear" w:pos="1134"/>
          <w:tab w:val="left" w:pos="1418"/>
        </w:tabs>
        <w:spacing w:before="240" w:after="240"/>
        <w:ind w:left="1134" w:hanging="567"/>
        <w:jc w:val="left"/>
        <w:textAlignment w:val="baseline"/>
        <w:rPr>
          <w:rFonts w:eastAsiaTheme="minorHAnsi" w:cstheme="minorBidi"/>
          <w:lang w:val="es-ES"/>
        </w:rPr>
      </w:pPr>
      <w:r w:rsidRPr="00755E85">
        <w:rPr>
          <w:rFonts w:eastAsiaTheme="minorHAnsi" w:cstheme="minorBidi"/>
          <w:b/>
          <w:lang w:val="es-ES"/>
        </w:rPr>
        <w:t>Propuesta del Secretario General (crecimiento real moderado):</w:t>
      </w:r>
      <w:bookmarkStart w:id="3" w:name="_Hlk117059455"/>
      <w:bookmarkEnd w:id="3"/>
      <w:r w:rsidRPr="00755E85">
        <w:rPr>
          <w:rFonts w:eastAsiaTheme="minorHAnsi" w:cstheme="minorBidi"/>
          <w:lang w:val="es-ES"/>
        </w:rPr>
        <w:t xml:space="preserve"> de 290 396 400 francos suizos, esta situación presenta la propuesta del Secretario General </w:t>
      </w:r>
      <w:r w:rsidRPr="00755E85">
        <w:rPr>
          <w:rFonts w:eastAsiaTheme="minorHAnsi" w:cstheme="minorBidi"/>
          <w:bCs/>
          <w:lang w:val="es-ES"/>
        </w:rPr>
        <w:t xml:space="preserve">sobre la cuantía máxima de los gastos durante el período financiero 2024-2027, </w:t>
      </w:r>
      <w:r w:rsidRPr="00755E85">
        <w:rPr>
          <w:rFonts w:eastAsiaTheme="minorHAnsi" w:cstheme="minorBidi"/>
          <w:lang w:val="es-ES"/>
        </w:rPr>
        <w:t>que permite a la Secretaría cumplir el programa que figura en el Plan Estratégico para 2024-2027. Esta propuesta, Reconoce las limitaciones de la capacidad de los Miembros para comprometerse a aumentar considerablemente el nivel de las contribuciones prorrateadas, considera las medidas de eficiencia que se aplicarán durante el período 2024-2027 y permite abordar el impacto estimado de la inflación (estimado actualmente en 6 765 100 francos suizos), así como un aumento neto de 12 086 900 francos suizos para financiar las principales necesidades y prioridades adicionales expresadas por los Miembros en el Plan Estratégico. Este escenario representa un aumento del 6,9 % en comparación con el escenario de crecimiento nominal cero.</w:t>
      </w:r>
    </w:p>
    <w:p w14:paraId="1842B317" w14:textId="7EAF74F9" w:rsidR="00D028ED" w:rsidRPr="00755E85" w:rsidRDefault="00D028ED">
      <w:pPr>
        <w:numPr>
          <w:ilvl w:val="0"/>
          <w:numId w:val="3"/>
        </w:numPr>
        <w:tabs>
          <w:tab w:val="clear" w:pos="1134"/>
          <w:tab w:val="left" w:pos="1418"/>
        </w:tabs>
        <w:spacing w:before="240" w:after="240"/>
        <w:ind w:left="1134" w:hanging="567"/>
        <w:jc w:val="left"/>
        <w:textAlignment w:val="baseline"/>
        <w:rPr>
          <w:rFonts w:eastAsiaTheme="minorHAnsi" w:cstheme="minorBidi"/>
          <w:lang w:val="es-ES"/>
        </w:rPr>
      </w:pPr>
      <w:r w:rsidRPr="00755E85">
        <w:rPr>
          <w:rFonts w:eastAsiaTheme="minorHAnsi" w:cstheme="minorBidi"/>
          <w:b/>
          <w:lang w:val="es-ES"/>
        </w:rPr>
        <w:t>Crecimiento nominal cero:</w:t>
      </w:r>
      <w:r w:rsidRPr="00755E85">
        <w:rPr>
          <w:rFonts w:eastAsiaTheme="minorHAnsi" w:cstheme="minorBidi"/>
          <w:lang w:val="es-ES"/>
        </w:rPr>
        <w:t xml:space="preserve"> representando el escenario de referencia que asciende a 271 544 400 francos suizos, al mismo nivel que los gastos máximos aprobados para el decimoséptimo período financiero (2020-2023). En este escenario también se tienen en cuenta las medidas de eficiencia que se aplicarán durante el período 2024-2027 y se requiere una mayor priorización de los recursos para permitir absorber el impacto estimado de la inflación (estimado actualmente en 6 398 200 francos suizos). Si bien se cubre el mandato básico de la OMM, este escenario limita la capacidad de la Secretaría para aplicar plenamente el Plan Estratégico y proporcionar el máximo beneficio a los Miembros debido a las restricciones financieras resultantes de un escenario de crecimiento nominal cero, en un entorno de inflación alta de lo normal.</w:t>
      </w:r>
    </w:p>
    <w:p w14:paraId="51DD373F" w14:textId="637A8D4E" w:rsidR="00D028ED" w:rsidRPr="00755E85" w:rsidRDefault="00D028ED" w:rsidP="00D028ED">
      <w:pPr>
        <w:tabs>
          <w:tab w:val="clear" w:pos="1134"/>
          <w:tab w:val="left" w:pos="1418"/>
        </w:tabs>
        <w:spacing w:before="360" w:after="240"/>
        <w:jc w:val="center"/>
        <w:rPr>
          <w:rFonts w:ascii="Times New Roman" w:eastAsia="MS Mincho" w:hAnsi="Times New Roman" w:cs="Times New Roman"/>
          <w:szCs w:val="22"/>
          <w:lang w:val="es-ES"/>
        </w:rPr>
      </w:pPr>
      <w:r w:rsidRPr="00755E85">
        <w:rPr>
          <w:b/>
          <w:lang w:val="es-ES"/>
        </w:rPr>
        <w:t xml:space="preserve">Cuadro 1.  Escenarios de gastos máximos para el periodo 2024-2027 </w:t>
      </w:r>
      <w:r w:rsidRPr="00755E85">
        <w:rPr>
          <w:i/>
          <w:lang w:val="es-ES"/>
        </w:rPr>
        <w:t>(Importes en miles de francos suizos)</w:t>
      </w:r>
      <w:r w:rsidRPr="003C3066">
        <w:rPr>
          <w:rFonts w:eastAsiaTheme="minorEastAsia" w:cstheme="minorBidi"/>
          <w:noProof/>
          <w:szCs w:val="22"/>
          <w:lang w:val="es-ES"/>
        </w:rPr>
        <w:t xml:space="preserve"> LINK Excel.Sheet.12 "https://wmoomm.sharepoint.com/sites/GS-Finance/Shared%20Documents/Finance/Budget/2024-2027/TABLE%20FOR%20DOCUMENT.xlsx" "Table 1!R4C1:R12C4" \a \f 4 \h  \* MERGEFORMAT </w:t>
      </w:r>
    </w:p>
    <w:tbl>
      <w:tblPr>
        <w:tblW w:w="5000" w:type="pct"/>
        <w:jc w:val="center"/>
        <w:tblLayout w:type="fixed"/>
        <w:tblLook w:val="04A0" w:firstRow="1" w:lastRow="0" w:firstColumn="1" w:lastColumn="0" w:noHBand="0" w:noVBand="1"/>
      </w:tblPr>
      <w:tblGrid>
        <w:gridCol w:w="2119"/>
        <w:gridCol w:w="4349"/>
        <w:gridCol w:w="3171"/>
      </w:tblGrid>
      <w:tr w:rsidR="00D028ED" w:rsidRPr="003C3066" w14:paraId="74840FF1" w14:textId="77777777" w:rsidTr="00642968">
        <w:trPr>
          <w:trHeight w:val="480"/>
          <w:jc w:val="center"/>
        </w:trPr>
        <w:tc>
          <w:tcPr>
            <w:tcW w:w="3355" w:type="pct"/>
            <w:gridSpan w:val="2"/>
            <w:vMerge w:val="restart"/>
            <w:tcBorders>
              <w:top w:val="single" w:sz="4" w:space="0" w:color="auto"/>
              <w:left w:val="nil"/>
              <w:bottom w:val="single" w:sz="4" w:space="0" w:color="auto"/>
              <w:right w:val="nil"/>
            </w:tcBorders>
            <w:shd w:val="clear" w:color="auto" w:fill="F2F2F2" w:themeFill="background1" w:themeFillShade="F2"/>
            <w:noWrap/>
            <w:vAlign w:val="center"/>
            <w:hideMark/>
          </w:tcPr>
          <w:p w14:paraId="2E9D4713" w14:textId="77777777" w:rsidR="00D028ED" w:rsidRPr="003C3066" w:rsidRDefault="00D028ED" w:rsidP="00D028ED">
            <w:pPr>
              <w:tabs>
                <w:tab w:val="clear" w:pos="1134"/>
                <w:tab w:val="left" w:pos="1418"/>
              </w:tabs>
              <w:spacing w:before="100" w:after="100"/>
              <w:ind w:firstLineChars="100" w:firstLine="200"/>
              <w:jc w:val="center"/>
              <w:rPr>
                <w:rFonts w:eastAsia="Times New Roman" w:cs="Calibri"/>
                <w:color w:val="000000"/>
              </w:rPr>
            </w:pPr>
            <w:r>
              <w:t>Escenarios</w:t>
            </w:r>
          </w:p>
        </w:tc>
        <w:tc>
          <w:tcPr>
            <w:tcW w:w="1645" w:type="pct"/>
            <w:vMerge w:val="restart"/>
            <w:tcBorders>
              <w:top w:val="single" w:sz="4" w:space="0" w:color="auto"/>
              <w:left w:val="nil"/>
              <w:bottom w:val="single" w:sz="8" w:space="0" w:color="auto"/>
              <w:right w:val="nil"/>
            </w:tcBorders>
            <w:shd w:val="clear" w:color="auto" w:fill="F2F2F2" w:themeFill="background1" w:themeFillShade="F2"/>
            <w:noWrap/>
            <w:vAlign w:val="center"/>
            <w:hideMark/>
          </w:tcPr>
          <w:p w14:paraId="62BC7FEA" w14:textId="77777777" w:rsidR="00D028ED" w:rsidRPr="003C3066" w:rsidRDefault="00D028ED" w:rsidP="00D028ED">
            <w:pPr>
              <w:tabs>
                <w:tab w:val="clear" w:pos="1134"/>
                <w:tab w:val="left" w:pos="1418"/>
              </w:tabs>
              <w:spacing w:before="100" w:after="100"/>
              <w:jc w:val="center"/>
              <w:rPr>
                <w:rFonts w:eastAsia="Times New Roman" w:cs="Calibri"/>
                <w:color w:val="000000"/>
              </w:rPr>
            </w:pPr>
            <w:r>
              <w:t>Total de gastos máximos</w:t>
            </w:r>
          </w:p>
        </w:tc>
      </w:tr>
      <w:tr w:rsidR="00D028ED" w:rsidRPr="003C3066" w14:paraId="39CC8E42" w14:textId="77777777" w:rsidTr="00297396">
        <w:trPr>
          <w:trHeight w:val="287"/>
          <w:jc w:val="center"/>
        </w:trPr>
        <w:tc>
          <w:tcPr>
            <w:tcW w:w="3355" w:type="pct"/>
            <w:gridSpan w:val="2"/>
            <w:vMerge/>
            <w:tcBorders>
              <w:top w:val="single" w:sz="4" w:space="0" w:color="auto"/>
              <w:left w:val="nil"/>
              <w:bottom w:val="single" w:sz="4" w:space="0" w:color="auto"/>
              <w:right w:val="nil"/>
            </w:tcBorders>
            <w:shd w:val="clear" w:color="auto" w:fill="F2F2F2" w:themeFill="background1" w:themeFillShade="F2"/>
            <w:vAlign w:val="center"/>
            <w:hideMark/>
          </w:tcPr>
          <w:p w14:paraId="09648BE3" w14:textId="77777777" w:rsidR="00D028ED" w:rsidRPr="003C3066" w:rsidRDefault="00D028ED" w:rsidP="00D028ED">
            <w:pPr>
              <w:tabs>
                <w:tab w:val="clear" w:pos="1134"/>
                <w:tab w:val="left" w:pos="1418"/>
              </w:tabs>
              <w:spacing w:before="100" w:after="100"/>
              <w:jc w:val="left"/>
              <w:rPr>
                <w:rFonts w:eastAsia="Times New Roman" w:cs="Calibri"/>
                <w:b/>
                <w:bCs/>
                <w:i/>
                <w:iCs/>
                <w:color w:val="000000"/>
                <w:lang w:eastAsia="zh-CN"/>
              </w:rPr>
            </w:pPr>
          </w:p>
        </w:tc>
        <w:tc>
          <w:tcPr>
            <w:tcW w:w="1645" w:type="pct"/>
            <w:vMerge/>
            <w:tcBorders>
              <w:top w:val="single" w:sz="4" w:space="0" w:color="auto"/>
              <w:left w:val="nil"/>
              <w:bottom w:val="single" w:sz="8" w:space="0" w:color="auto"/>
              <w:right w:val="nil"/>
            </w:tcBorders>
            <w:shd w:val="clear" w:color="auto" w:fill="F2F2F2" w:themeFill="background1" w:themeFillShade="F2"/>
            <w:vAlign w:val="center"/>
            <w:hideMark/>
          </w:tcPr>
          <w:p w14:paraId="71573657" w14:textId="77777777" w:rsidR="00D028ED" w:rsidRPr="003C3066" w:rsidRDefault="00D028ED" w:rsidP="00D028ED">
            <w:pPr>
              <w:tabs>
                <w:tab w:val="clear" w:pos="1134"/>
                <w:tab w:val="left" w:pos="1418"/>
              </w:tabs>
              <w:spacing w:before="100" w:after="100"/>
              <w:jc w:val="left"/>
              <w:rPr>
                <w:rFonts w:eastAsia="Times New Roman" w:cs="Calibri"/>
                <w:b/>
                <w:bCs/>
                <w:i/>
                <w:iCs/>
                <w:color w:val="000000"/>
                <w:lang w:eastAsia="zh-CN"/>
              </w:rPr>
            </w:pPr>
          </w:p>
        </w:tc>
      </w:tr>
      <w:tr w:rsidR="00D028ED" w:rsidRPr="003C3066" w14:paraId="23AD1704" w14:textId="77777777" w:rsidTr="00642968">
        <w:trPr>
          <w:trHeight w:val="240"/>
          <w:jc w:val="center"/>
        </w:trPr>
        <w:tc>
          <w:tcPr>
            <w:tcW w:w="1099" w:type="pct"/>
            <w:tcBorders>
              <w:top w:val="single" w:sz="4" w:space="0" w:color="auto"/>
              <w:left w:val="nil"/>
              <w:bottom w:val="dotted" w:sz="4" w:space="0" w:color="auto"/>
              <w:right w:val="nil"/>
            </w:tcBorders>
            <w:shd w:val="clear" w:color="000000" w:fill="FFFFFF"/>
            <w:noWrap/>
            <w:vAlign w:val="bottom"/>
            <w:hideMark/>
          </w:tcPr>
          <w:p w14:paraId="777A4E1E"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c>
          <w:tcPr>
            <w:tcW w:w="2256" w:type="pct"/>
            <w:tcBorders>
              <w:top w:val="single" w:sz="4" w:space="0" w:color="auto"/>
              <w:left w:val="nil"/>
              <w:bottom w:val="dotted" w:sz="4" w:space="0" w:color="auto"/>
              <w:right w:val="nil"/>
            </w:tcBorders>
            <w:shd w:val="clear" w:color="000000" w:fill="FFFFFF"/>
            <w:noWrap/>
            <w:vAlign w:val="bottom"/>
            <w:hideMark/>
          </w:tcPr>
          <w:p w14:paraId="2A13D46E"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c>
          <w:tcPr>
            <w:tcW w:w="1645" w:type="pct"/>
            <w:tcBorders>
              <w:top w:val="single" w:sz="8" w:space="0" w:color="auto"/>
              <w:left w:val="nil"/>
              <w:bottom w:val="dotted" w:sz="4" w:space="0" w:color="auto"/>
              <w:right w:val="nil"/>
            </w:tcBorders>
            <w:shd w:val="clear" w:color="000000" w:fill="FFFFFF"/>
            <w:noWrap/>
            <w:vAlign w:val="bottom"/>
            <w:hideMark/>
          </w:tcPr>
          <w:p w14:paraId="55C9396E"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r>
      <w:tr w:rsidR="00D028ED" w:rsidRPr="003C3066" w14:paraId="558CAAA7" w14:textId="77777777" w:rsidTr="00642968">
        <w:trPr>
          <w:trHeight w:val="310"/>
          <w:jc w:val="center"/>
        </w:trPr>
        <w:tc>
          <w:tcPr>
            <w:tcW w:w="3355" w:type="pct"/>
            <w:gridSpan w:val="2"/>
            <w:tcBorders>
              <w:top w:val="dotted" w:sz="4" w:space="0" w:color="auto"/>
              <w:left w:val="nil"/>
              <w:bottom w:val="dotted" w:sz="4" w:space="0" w:color="auto"/>
              <w:right w:val="nil"/>
            </w:tcBorders>
            <w:shd w:val="clear" w:color="000000" w:fill="FFFFFF"/>
            <w:noWrap/>
            <w:vAlign w:val="bottom"/>
            <w:hideMark/>
          </w:tcPr>
          <w:p w14:paraId="4258B711" w14:textId="77777777" w:rsidR="00D028ED" w:rsidRPr="00755E85" w:rsidRDefault="00D028ED" w:rsidP="00D028ED">
            <w:pPr>
              <w:tabs>
                <w:tab w:val="clear" w:pos="1134"/>
                <w:tab w:val="left" w:pos="1418"/>
              </w:tabs>
              <w:spacing w:before="100" w:after="100"/>
              <w:ind w:firstLineChars="584" w:firstLine="1168"/>
              <w:jc w:val="left"/>
              <w:rPr>
                <w:rFonts w:eastAsia="Times New Roman" w:cs="Calibri"/>
                <w:color w:val="000000"/>
                <w:lang w:val="es-ES" w:eastAsia="zh-CN"/>
              </w:rPr>
            </w:pPr>
            <w:r w:rsidRPr="00755E85">
              <w:rPr>
                <w:rFonts w:eastAsia="Times New Roman" w:cs="Calibri"/>
                <w:color w:val="000000"/>
                <w:lang w:val="es-ES"/>
              </w:rPr>
              <w:t>Crecimiento nominal cero (CRECIMIENTO NOMINAL CERO)</w:t>
            </w:r>
          </w:p>
        </w:tc>
        <w:tc>
          <w:tcPr>
            <w:tcW w:w="1645" w:type="pct"/>
            <w:tcBorders>
              <w:top w:val="dotted" w:sz="4" w:space="0" w:color="auto"/>
              <w:left w:val="nil"/>
              <w:bottom w:val="dotted" w:sz="4" w:space="0" w:color="auto"/>
              <w:right w:val="nil"/>
            </w:tcBorders>
            <w:shd w:val="clear" w:color="000000" w:fill="FFFFFF"/>
            <w:noWrap/>
            <w:vAlign w:val="center"/>
            <w:hideMark/>
          </w:tcPr>
          <w:p w14:paraId="6073CD02" w14:textId="443DDBF2" w:rsidR="00D028ED" w:rsidRPr="003C3066" w:rsidRDefault="00D028ED" w:rsidP="00D028ED">
            <w:pPr>
              <w:tabs>
                <w:tab w:val="clear" w:pos="1134"/>
                <w:tab w:val="left" w:pos="1418"/>
              </w:tabs>
              <w:spacing w:before="100" w:after="100"/>
              <w:ind w:right="456"/>
              <w:jc w:val="right"/>
              <w:rPr>
                <w:rFonts w:eastAsia="Times New Roman" w:cs="Calibri"/>
                <w:color w:val="000000"/>
              </w:rPr>
            </w:pPr>
            <w:r>
              <w:t>271</w:t>
            </w:r>
            <w:r w:rsidR="008C22BC">
              <w:t xml:space="preserve"> </w:t>
            </w:r>
            <w:r>
              <w:t xml:space="preserve">544,4 </w:t>
            </w:r>
          </w:p>
        </w:tc>
      </w:tr>
      <w:tr w:rsidR="00D028ED" w:rsidRPr="003C3066" w14:paraId="1736FF72" w14:textId="77777777" w:rsidTr="00642968">
        <w:trPr>
          <w:trHeight w:val="310"/>
          <w:jc w:val="center"/>
        </w:trPr>
        <w:tc>
          <w:tcPr>
            <w:tcW w:w="3355" w:type="pct"/>
            <w:gridSpan w:val="2"/>
            <w:tcBorders>
              <w:top w:val="dotted" w:sz="4" w:space="0" w:color="auto"/>
              <w:left w:val="nil"/>
              <w:bottom w:val="dotted" w:sz="4" w:space="0" w:color="auto"/>
              <w:right w:val="nil"/>
            </w:tcBorders>
            <w:shd w:val="clear" w:color="000000" w:fill="FFFFFF"/>
            <w:noWrap/>
            <w:vAlign w:val="bottom"/>
            <w:hideMark/>
          </w:tcPr>
          <w:p w14:paraId="107BBC36" w14:textId="77777777" w:rsidR="00D028ED" w:rsidRPr="003C3066" w:rsidRDefault="00D028ED" w:rsidP="00D028ED">
            <w:pPr>
              <w:tabs>
                <w:tab w:val="clear" w:pos="1134"/>
                <w:tab w:val="left" w:pos="1418"/>
              </w:tabs>
              <w:spacing w:before="100" w:after="100"/>
              <w:ind w:firstLineChars="584" w:firstLine="1168"/>
              <w:jc w:val="left"/>
              <w:rPr>
                <w:rFonts w:eastAsia="Times New Roman" w:cs="Calibri"/>
                <w:color w:val="000000"/>
                <w:lang w:eastAsia="zh-CN"/>
              </w:rPr>
            </w:pPr>
            <w:r w:rsidRPr="003C3066">
              <w:rPr>
                <w:rFonts w:eastAsia="Times New Roman" w:cs="Calibri"/>
                <w:color w:val="000000"/>
              </w:rPr>
              <w:t>Propuesta del Secretario General</w:t>
            </w:r>
          </w:p>
        </w:tc>
        <w:tc>
          <w:tcPr>
            <w:tcW w:w="1645" w:type="pct"/>
            <w:tcBorders>
              <w:top w:val="dotted" w:sz="4" w:space="0" w:color="auto"/>
              <w:left w:val="nil"/>
              <w:bottom w:val="dotted" w:sz="4" w:space="0" w:color="auto"/>
              <w:right w:val="nil"/>
            </w:tcBorders>
            <w:shd w:val="clear" w:color="000000" w:fill="FFFFFF"/>
            <w:noWrap/>
            <w:vAlign w:val="center"/>
            <w:hideMark/>
          </w:tcPr>
          <w:p w14:paraId="75F01A89" w14:textId="6A2D7E2E" w:rsidR="00D028ED" w:rsidRPr="003C3066" w:rsidRDefault="00D028ED" w:rsidP="00D028ED">
            <w:pPr>
              <w:tabs>
                <w:tab w:val="clear" w:pos="1134"/>
                <w:tab w:val="left" w:pos="1418"/>
              </w:tabs>
              <w:spacing w:before="100" w:after="100"/>
              <w:ind w:right="456"/>
              <w:jc w:val="right"/>
              <w:rPr>
                <w:rFonts w:eastAsia="Times New Roman" w:cs="Calibri"/>
                <w:color w:val="000000"/>
              </w:rPr>
            </w:pPr>
            <w:r>
              <w:t>290</w:t>
            </w:r>
            <w:r w:rsidR="008C22BC">
              <w:t xml:space="preserve"> </w:t>
            </w:r>
            <w:r>
              <w:t xml:space="preserve">396,4 </w:t>
            </w:r>
          </w:p>
        </w:tc>
      </w:tr>
      <w:tr w:rsidR="00D028ED" w:rsidRPr="003C3066" w14:paraId="62888443" w14:textId="77777777" w:rsidTr="00642968">
        <w:trPr>
          <w:trHeight w:val="310"/>
          <w:jc w:val="center"/>
        </w:trPr>
        <w:tc>
          <w:tcPr>
            <w:tcW w:w="3355" w:type="pct"/>
            <w:gridSpan w:val="2"/>
            <w:tcBorders>
              <w:top w:val="dotted" w:sz="4" w:space="0" w:color="auto"/>
              <w:left w:val="nil"/>
              <w:bottom w:val="dotted" w:sz="4" w:space="0" w:color="auto"/>
              <w:right w:val="nil"/>
            </w:tcBorders>
            <w:shd w:val="clear" w:color="000000" w:fill="FFFFFF"/>
            <w:noWrap/>
            <w:vAlign w:val="bottom"/>
            <w:hideMark/>
          </w:tcPr>
          <w:p w14:paraId="33F26DB0" w14:textId="77777777" w:rsidR="00D028ED" w:rsidRPr="00755E85" w:rsidRDefault="00D028ED" w:rsidP="00D028ED">
            <w:pPr>
              <w:tabs>
                <w:tab w:val="clear" w:pos="1134"/>
                <w:tab w:val="left" w:pos="1418"/>
              </w:tabs>
              <w:spacing w:before="100" w:after="100"/>
              <w:ind w:firstLineChars="584" w:firstLine="1168"/>
              <w:jc w:val="left"/>
              <w:rPr>
                <w:rFonts w:eastAsia="Times New Roman" w:cs="Calibri"/>
                <w:color w:val="000000"/>
                <w:lang w:val="es-ES" w:eastAsia="zh-CN"/>
              </w:rPr>
            </w:pPr>
            <w:r w:rsidRPr="00755E85">
              <w:rPr>
                <w:rFonts w:eastAsia="Times New Roman" w:cs="Calibri"/>
                <w:color w:val="000000"/>
                <w:lang w:val="es-ES"/>
              </w:rPr>
              <w:t>Aumento de la cantidad en comparación con el crecimiento nominal</w:t>
            </w:r>
          </w:p>
        </w:tc>
        <w:tc>
          <w:tcPr>
            <w:tcW w:w="1645" w:type="pct"/>
            <w:tcBorders>
              <w:top w:val="dotted" w:sz="4" w:space="0" w:color="auto"/>
              <w:left w:val="nil"/>
              <w:bottom w:val="dotted" w:sz="4" w:space="0" w:color="auto"/>
              <w:right w:val="nil"/>
            </w:tcBorders>
            <w:shd w:val="clear" w:color="000000" w:fill="FFFFFF"/>
            <w:noWrap/>
            <w:vAlign w:val="center"/>
            <w:hideMark/>
          </w:tcPr>
          <w:p w14:paraId="7666D865" w14:textId="58EEBC79" w:rsidR="00D028ED" w:rsidRPr="003C3066" w:rsidRDefault="00D028ED" w:rsidP="00D028ED">
            <w:pPr>
              <w:tabs>
                <w:tab w:val="clear" w:pos="1134"/>
                <w:tab w:val="left" w:pos="1418"/>
              </w:tabs>
              <w:spacing w:before="100" w:after="100"/>
              <w:ind w:right="456"/>
              <w:jc w:val="right"/>
              <w:rPr>
                <w:rFonts w:eastAsia="Times New Roman" w:cs="Calibri"/>
                <w:color w:val="000000"/>
              </w:rPr>
            </w:pPr>
            <w:r>
              <w:t>18</w:t>
            </w:r>
            <w:r w:rsidR="008C22BC">
              <w:t xml:space="preserve"> </w:t>
            </w:r>
            <w:r>
              <w:t xml:space="preserve">852,0 </w:t>
            </w:r>
          </w:p>
        </w:tc>
      </w:tr>
      <w:tr w:rsidR="00D028ED" w:rsidRPr="003C3066" w14:paraId="6CD9F6BA" w14:textId="77777777" w:rsidTr="00642968">
        <w:trPr>
          <w:trHeight w:val="310"/>
          <w:jc w:val="center"/>
        </w:trPr>
        <w:tc>
          <w:tcPr>
            <w:tcW w:w="3355" w:type="pct"/>
            <w:gridSpan w:val="2"/>
            <w:tcBorders>
              <w:top w:val="dotted" w:sz="4" w:space="0" w:color="auto"/>
              <w:left w:val="nil"/>
              <w:bottom w:val="dotted" w:sz="4" w:space="0" w:color="auto"/>
              <w:right w:val="nil"/>
            </w:tcBorders>
            <w:shd w:val="clear" w:color="000000" w:fill="FFFFFF"/>
            <w:noWrap/>
            <w:vAlign w:val="bottom"/>
            <w:hideMark/>
          </w:tcPr>
          <w:p w14:paraId="2A46FBFF" w14:textId="77777777" w:rsidR="00D028ED" w:rsidRPr="00755E85" w:rsidRDefault="00D028ED" w:rsidP="00D028ED">
            <w:pPr>
              <w:tabs>
                <w:tab w:val="clear" w:pos="1134"/>
                <w:tab w:val="left" w:pos="1418"/>
              </w:tabs>
              <w:spacing w:before="100" w:after="100"/>
              <w:ind w:firstLineChars="584" w:firstLine="1168"/>
              <w:jc w:val="left"/>
              <w:rPr>
                <w:rFonts w:eastAsia="Times New Roman" w:cs="Calibri"/>
                <w:color w:val="000000"/>
                <w:lang w:val="es-ES" w:eastAsia="zh-CN"/>
              </w:rPr>
            </w:pPr>
            <w:r w:rsidRPr="00755E85">
              <w:rPr>
                <w:rFonts w:eastAsia="Times New Roman" w:cs="Calibri"/>
                <w:color w:val="000000"/>
                <w:lang w:val="es-ES"/>
              </w:rPr>
              <w:t>Aumento porcentual en comparación con el crecimiento nominal</w:t>
            </w:r>
          </w:p>
        </w:tc>
        <w:tc>
          <w:tcPr>
            <w:tcW w:w="1645" w:type="pct"/>
            <w:tcBorders>
              <w:top w:val="dotted" w:sz="4" w:space="0" w:color="auto"/>
              <w:left w:val="nil"/>
              <w:bottom w:val="dotted" w:sz="4" w:space="0" w:color="auto"/>
              <w:right w:val="nil"/>
            </w:tcBorders>
            <w:shd w:val="clear" w:color="000000" w:fill="FFFFFF"/>
            <w:noWrap/>
            <w:vAlign w:val="center"/>
            <w:hideMark/>
          </w:tcPr>
          <w:p w14:paraId="003E3092" w14:textId="6B477C9A" w:rsidR="00D028ED" w:rsidRPr="003C3066" w:rsidRDefault="00D028ED" w:rsidP="00D028ED">
            <w:pPr>
              <w:tabs>
                <w:tab w:val="clear" w:pos="1134"/>
                <w:tab w:val="left" w:pos="1418"/>
              </w:tabs>
              <w:spacing w:before="100" w:after="100"/>
              <w:ind w:right="456"/>
              <w:jc w:val="right"/>
              <w:rPr>
                <w:rFonts w:eastAsia="Times New Roman" w:cs="Calibri"/>
                <w:color w:val="000000"/>
                <w:lang w:eastAsia="zh-CN"/>
              </w:rPr>
            </w:pPr>
            <w:r w:rsidRPr="003C3066">
              <w:rPr>
                <w:rFonts w:eastAsia="Times New Roman" w:cs="Calibri"/>
                <w:color w:val="000000"/>
              </w:rPr>
              <w:t>6</w:t>
            </w:r>
            <w:r w:rsidR="008C22BC">
              <w:rPr>
                <w:rFonts w:eastAsia="Times New Roman" w:cs="Calibri"/>
                <w:color w:val="000000"/>
              </w:rPr>
              <w:t>,</w:t>
            </w:r>
            <w:r w:rsidRPr="003C3066">
              <w:rPr>
                <w:rFonts w:eastAsia="Times New Roman" w:cs="Calibri"/>
                <w:color w:val="000000"/>
              </w:rPr>
              <w:t>9%</w:t>
            </w:r>
          </w:p>
        </w:tc>
      </w:tr>
      <w:tr w:rsidR="00D028ED" w:rsidRPr="003C3066" w14:paraId="59D7C51D" w14:textId="77777777" w:rsidTr="00642968">
        <w:trPr>
          <w:trHeight w:val="300"/>
          <w:jc w:val="center"/>
        </w:trPr>
        <w:tc>
          <w:tcPr>
            <w:tcW w:w="1099" w:type="pct"/>
            <w:tcBorders>
              <w:top w:val="dotted" w:sz="4" w:space="0" w:color="auto"/>
              <w:left w:val="nil"/>
              <w:bottom w:val="single" w:sz="8" w:space="0" w:color="auto"/>
              <w:right w:val="nil"/>
            </w:tcBorders>
            <w:shd w:val="clear" w:color="000000" w:fill="FFFFFF"/>
            <w:noWrap/>
            <w:vAlign w:val="bottom"/>
            <w:hideMark/>
          </w:tcPr>
          <w:p w14:paraId="00DB256D"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c>
          <w:tcPr>
            <w:tcW w:w="2256" w:type="pct"/>
            <w:tcBorders>
              <w:top w:val="dotted" w:sz="4" w:space="0" w:color="auto"/>
              <w:left w:val="nil"/>
              <w:bottom w:val="single" w:sz="8" w:space="0" w:color="auto"/>
              <w:right w:val="nil"/>
            </w:tcBorders>
            <w:shd w:val="clear" w:color="000000" w:fill="FFFFFF"/>
            <w:noWrap/>
            <w:vAlign w:val="bottom"/>
            <w:hideMark/>
          </w:tcPr>
          <w:p w14:paraId="72377F04"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c>
          <w:tcPr>
            <w:tcW w:w="1645" w:type="pct"/>
            <w:tcBorders>
              <w:top w:val="dotted" w:sz="4" w:space="0" w:color="auto"/>
              <w:left w:val="nil"/>
              <w:bottom w:val="single" w:sz="8" w:space="0" w:color="auto"/>
              <w:right w:val="nil"/>
            </w:tcBorders>
            <w:shd w:val="clear" w:color="000000" w:fill="FFFFFF"/>
            <w:noWrap/>
            <w:vAlign w:val="bottom"/>
            <w:hideMark/>
          </w:tcPr>
          <w:p w14:paraId="5610B40A"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r>
    </w:tbl>
    <w:p w14:paraId="45B1CF70" w14:textId="48551B66"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Ambos escenarios de gastos máximos se basan gradualmente en las prioridades y la necesidad de financiación de los elementos programáticos detallados en el Plan de Funcionamiento para el período financiero 2024-2027, que se ha preparado de conformidad con el Plan Estratégico para 2024-2027. El Plan Estratégico y el Plan de Funcionamiento se proporcionaron al Comité Consultivo en materia de Políticas (PAC) para su examen en octubre </w:t>
      </w:r>
      <w:r w:rsidRPr="00755E85">
        <w:rPr>
          <w:rFonts w:eastAsiaTheme="minorHAnsi" w:cstheme="minorBidi"/>
          <w:lang w:val="es-ES"/>
        </w:rPr>
        <w:lastRenderedPageBreak/>
        <w:t>de 2022, y se han tenido en cuenta las observaciones recibidas del Comité en la determinación de la financiación necesaria y la asignación de recursos por objetivos estratégicos.</w:t>
      </w:r>
    </w:p>
    <w:p w14:paraId="4A8D6BA5"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rPr>
      </w:pPr>
      <w:bookmarkStart w:id="4" w:name="_Toc121390456"/>
      <w:r>
        <w:rPr>
          <w:b/>
        </w:rPr>
        <w:t>Propuesta del Secretario General</w:t>
      </w:r>
      <w:bookmarkEnd w:id="4"/>
    </w:p>
    <w:p w14:paraId="2E677D1F" w14:textId="0408F6EB"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La propuesta del Secretario General relativa a un aumento moderado del crecimiento real se basa en el Plan Estratégico y el Plan de Funcionamiento y proporciona requisitos de financiación que permitan la consecución efectiva de los resultados y productos fundamentales identificados por los Miembros durante la preparación del Plan Estratégico, tanto los productos actuales como los principales que apoyan la consecución del mandato de la OMM, así como las nuevas necesidades y los productos ampliados que determinen los Miembros. En el Plan de Funcionamiento se describen detalladamente los productos finales y los hitos conexos previstos para el período financiero 2024-2027, así como las justificaciones y las repercusiones de su aplicación por objetivo estratégico.</w:t>
      </w:r>
    </w:p>
    <w:p w14:paraId="5337E27B" w14:textId="50847339"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La propuesta del Secretario General no tiene por objeto incluir todos los fondos necesarios para la plena aplicación de todos los resultados y productos presentados en el Plan de Funcionamiento. A fin de llevar a cabo plenamente estas actividades, se requerirá la movilización de recursos extrapresupuestarios para complementar los fondos proporcionados mediante las contribuciones del presupuesto ordinario. El apoyo de los Miembros a la prestación de contribuciones extrapresupuestarias será fundamental para mitigar el riesgo de una ejecución plena y oportuna debido a la falta de financiación.</w:t>
      </w:r>
    </w:p>
    <w:p w14:paraId="21F868D2" w14:textId="55DB7AA2"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A continuación</w:t>
      </w:r>
      <w:r w:rsidR="006102C1">
        <w:rPr>
          <w:rFonts w:eastAsiaTheme="minorHAnsi" w:cstheme="minorBidi"/>
          <w:lang w:val="es-ES"/>
        </w:rPr>
        <w:t>,</w:t>
      </w:r>
      <w:r w:rsidRPr="00755E85">
        <w:rPr>
          <w:rFonts w:eastAsiaTheme="minorHAnsi" w:cstheme="minorBidi"/>
          <w:lang w:val="es-ES"/>
        </w:rPr>
        <w:t xml:space="preserve"> se presenta un resumen de los principales resultados concretos que se aplicarán durante el período financiero 2024-2027 que figura en la propuesta del Secretario General:</w:t>
      </w:r>
    </w:p>
    <w:p w14:paraId="51D9F57D" w14:textId="386C2BC4" w:rsidR="00D028ED" w:rsidRPr="00755E85" w:rsidRDefault="00D028ED" w:rsidP="00D028ED">
      <w:pPr>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 xml:space="preserve">Sistemas de </w:t>
      </w:r>
      <w:r w:rsidR="00ED1DE2">
        <w:rPr>
          <w:rFonts w:eastAsiaTheme="minorEastAsia" w:cstheme="minorBidi"/>
          <w:i/>
          <w:szCs w:val="22"/>
          <w:lang w:val="es-ES"/>
        </w:rPr>
        <w:t>A</w:t>
      </w:r>
      <w:r w:rsidRPr="00755E85">
        <w:rPr>
          <w:rFonts w:eastAsiaTheme="minorEastAsia" w:cstheme="minorBidi"/>
          <w:i/>
          <w:szCs w:val="22"/>
          <w:lang w:val="es-ES"/>
        </w:rPr>
        <w:t xml:space="preserve">lerta </w:t>
      </w:r>
      <w:r w:rsidR="00ED1DE2">
        <w:rPr>
          <w:rFonts w:eastAsiaTheme="minorEastAsia" w:cstheme="minorBidi"/>
          <w:i/>
          <w:szCs w:val="22"/>
          <w:lang w:val="es-ES"/>
        </w:rPr>
        <w:t>T</w:t>
      </w:r>
      <w:r w:rsidRPr="00755E85">
        <w:rPr>
          <w:rFonts w:eastAsiaTheme="minorEastAsia" w:cstheme="minorBidi"/>
          <w:i/>
          <w:szCs w:val="22"/>
          <w:lang w:val="es-ES"/>
        </w:rPr>
        <w:t xml:space="preserve">emprana para </w:t>
      </w:r>
      <w:r w:rsidR="00ED1DE2">
        <w:rPr>
          <w:rFonts w:eastAsiaTheme="minorEastAsia" w:cstheme="minorBidi"/>
          <w:i/>
          <w:szCs w:val="22"/>
          <w:lang w:val="es-ES"/>
        </w:rPr>
        <w:t>T</w:t>
      </w:r>
      <w:r w:rsidRPr="00755E85">
        <w:rPr>
          <w:rFonts w:eastAsiaTheme="minorEastAsia" w:cstheme="minorBidi"/>
          <w:i/>
          <w:szCs w:val="22"/>
          <w:lang w:val="es-ES"/>
        </w:rPr>
        <w:t>odos implementados para 2027</w:t>
      </w:r>
    </w:p>
    <w:p w14:paraId="31AB94E7" w14:textId="66F54732"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Las alertas tempranas para todas las iniciativas anunciadas por el Secretario General de las Naciones Unidas en el Día Meteorológico Mundial el 23 de marzo de 2022 tienen por objeto garantizar que todas las personas del planeta estén cubiertas por sistemas de alerta temprana para el año 2027. La consecución de esta iniciativa sería transformativa para el mundo, dando lugar a reducciones drásticas de la mortalidad causada por desastres, al número de personas afectadas y a pérdidas económicas. Asimismo, constituye una oportunidad para aumentar la visibilidad de los Miembros de la OMM y consolidar su papel fundamental en la consecución del Acuerdo de París, el Marco de Sendái, los Objetivos de Desarrollo Sostenible de las Naciones Unidas y como voz autorizada en su país sobre los avisos meteorológicos, hidrológicos y climáticos y conexos.</w:t>
      </w:r>
    </w:p>
    <w:p w14:paraId="1E7C2941" w14:textId="6B304671"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rPr>
      </w:pPr>
      <w:r w:rsidRPr="00755E85">
        <w:rPr>
          <w:lang w:val="es-ES"/>
        </w:rPr>
        <w:t>El Plan de Acción Ejecutivo para las Alertas Tempranas para Todos se puso en marcha durante la Cumbre de Líderes Mundiales en las negociaciones de las Naciones Unidas sobre el cambio climático, en la CP27. El Secretario General de las Naciones Unidas y el Secretario General de la OMM pusieron en marcha conjuntamente el plan en una reunión de jefes de Estado, de Gobierno y de organizaciones de las Naciones Unidas, de organismos de financiación, de empresas de gran tecnología y del sector privado. Elaborado por la Organización Meteorológica Mundial (OMM) y sus asociados, el plan está respaldado por una declaración conjunta suscrita por 50 países.</w:t>
      </w:r>
    </w:p>
    <w:p w14:paraId="1C475318" w14:textId="1EFFDD9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En el Plan de Acción Ejecutivo para las Alertas Tempranas para Todos se pide la creación de nuevas inversiones específicas iniciales entre 2023 y 2027 de 3 100 millones de dólares </w:t>
      </w:r>
      <w:r w:rsidR="003C06F7">
        <w:rPr>
          <w:rFonts w:eastAsiaTheme="minorEastAsia" w:cstheme="minorBidi"/>
          <w:szCs w:val="22"/>
          <w:lang w:val="es-ES"/>
        </w:rPr>
        <w:t>estadounidenses</w:t>
      </w:r>
      <w:r w:rsidRPr="00755E85">
        <w:rPr>
          <w:rFonts w:eastAsiaTheme="minorEastAsia" w:cstheme="minorBidi"/>
          <w:szCs w:val="22"/>
          <w:lang w:val="es-ES"/>
        </w:rPr>
        <w:t xml:space="preserve">. El plan abarca los conocimientos, las observaciones y la predicción de los riesgos de desastre, la preparación y la respuesta, la comunicación de alertas tempranas y el seguimiento y la evaluación. Si bien las promesas de apoyo financiero en la CP27 fueron alentadoras, los países no transferirán inmediatamente las deficiencias de financiación y los recursos prometidos no serán transferidos de inmediato </w:t>
      </w:r>
      <w:r w:rsidRPr="00755E85">
        <w:rPr>
          <w:rFonts w:eastAsiaTheme="minorEastAsia" w:cstheme="minorBidi"/>
          <w:szCs w:val="22"/>
          <w:lang w:val="es-ES"/>
        </w:rPr>
        <w:lastRenderedPageBreak/>
        <w:t>por los países. Los fondos solicitados en la propuesta del Secretario General permitirán acelerar la aplicación de las alertas tempranas para todos, avanzar rápidamente y asegurar una sucesión de victorias rápidas para mantener el impulso político y el apoyo a la iniciativa.</w:t>
      </w:r>
    </w:p>
    <w:p w14:paraId="774B8733" w14:textId="5720CFD3"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A fin de que la OMM pueda satisfacer la demanda de todos los Miembros, es esencial que se subsanen las deficiencias para aquellos Miembros que no disponen de servicios de alerta temprana multirriesgos; que no disponen de legislación nacional en materia de comunicación y acción por parte de organismos nacionales relacionados con los desastres; o que no disponen de suficiente infraestructura de apoyo. De esta manera, podemos garantizar que reduzcamos significativamente la pérdida de vidas; De lo contrario, es posible que no se adhieran al plan de acción del Sistema de Alerta Temprana, según lo acordado por todos los Miembros.</w:t>
      </w:r>
    </w:p>
    <w:p w14:paraId="278E944F" w14:textId="2BC3CC25"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El Consejo Ejecutivo aprobó </w:t>
      </w:r>
      <w:hyperlink r:id="rId14" w:anchor="page=19" w:history="1">
        <w:r w:rsidRPr="00755E85">
          <w:rPr>
            <w:rStyle w:val="Hyperlink"/>
            <w:rFonts w:eastAsiaTheme="minorEastAsia" w:cstheme="minorBidi"/>
            <w:szCs w:val="22"/>
            <w:lang w:val="es-ES"/>
          </w:rPr>
          <w:t xml:space="preserve"> la Resolución 3 (EC-75),</w:t>
        </w:r>
      </w:hyperlink>
      <w:r w:rsidRPr="00755E85">
        <w:rPr>
          <w:rFonts w:eastAsiaTheme="minorEastAsia" w:cstheme="minorBidi"/>
          <w:szCs w:val="22"/>
          <w:lang w:val="es-ES"/>
        </w:rPr>
        <w:t xml:space="preserve"> en la que se reconoció que la Iniciativa mundial de alerta temprana y adaptación de las Naciones Unidas es esencial para la misión de los </w:t>
      </w:r>
      <w:r w:rsidR="0041566C">
        <w:rPr>
          <w:rFonts w:eastAsiaTheme="minorEastAsia" w:cstheme="minorBidi"/>
          <w:szCs w:val="22"/>
          <w:lang w:val="es-ES"/>
        </w:rPr>
        <w:t>Servicios Meteorológicos e Hidrológicos</w:t>
      </w:r>
      <w:r w:rsidR="00FF5657">
        <w:rPr>
          <w:rFonts w:eastAsiaTheme="minorEastAsia" w:cstheme="minorBidi"/>
          <w:szCs w:val="22"/>
          <w:lang w:val="es-ES"/>
        </w:rPr>
        <w:t xml:space="preserve"> Nacionales</w:t>
      </w:r>
      <w:r w:rsidR="0041566C">
        <w:rPr>
          <w:rFonts w:eastAsiaTheme="minorEastAsia" w:cstheme="minorBidi"/>
          <w:szCs w:val="22"/>
          <w:lang w:val="es-ES"/>
        </w:rPr>
        <w:t xml:space="preserve"> (</w:t>
      </w:r>
      <w:r w:rsidRPr="00755E85">
        <w:rPr>
          <w:rFonts w:eastAsiaTheme="minorEastAsia" w:cstheme="minorBidi"/>
          <w:szCs w:val="22"/>
          <w:lang w:val="es-ES"/>
        </w:rPr>
        <w:t>SMHN</w:t>
      </w:r>
      <w:r w:rsidR="0041566C">
        <w:rPr>
          <w:rFonts w:eastAsiaTheme="minorEastAsia" w:cstheme="minorBidi"/>
          <w:szCs w:val="22"/>
          <w:lang w:val="es-ES"/>
        </w:rPr>
        <w:t>)</w:t>
      </w:r>
      <w:r w:rsidRPr="00755E85">
        <w:rPr>
          <w:rFonts w:eastAsiaTheme="minorEastAsia" w:cstheme="minorBidi"/>
          <w:szCs w:val="22"/>
          <w:lang w:val="es-ES"/>
        </w:rPr>
        <w:t xml:space="preserve"> y </w:t>
      </w:r>
      <w:r w:rsidR="00752C6A">
        <w:rPr>
          <w:rFonts w:eastAsiaTheme="minorEastAsia" w:cstheme="minorBidi"/>
          <w:szCs w:val="22"/>
          <w:lang w:val="es-ES"/>
        </w:rPr>
        <w:t xml:space="preserve">que </w:t>
      </w:r>
      <w:r w:rsidRPr="00755E85">
        <w:rPr>
          <w:rFonts w:eastAsiaTheme="minorEastAsia" w:cstheme="minorBidi"/>
          <w:szCs w:val="22"/>
          <w:lang w:val="es-ES"/>
        </w:rPr>
        <w:t>es una iniciativa que los SMHN pueden proseguir mediante la coordinación de la OMM</w:t>
      </w:r>
      <w:r w:rsidR="00752C6A">
        <w:rPr>
          <w:rFonts w:eastAsiaTheme="minorEastAsia" w:cstheme="minorBidi"/>
          <w:szCs w:val="22"/>
          <w:lang w:val="es-ES"/>
        </w:rPr>
        <w:t>,</w:t>
      </w:r>
      <w:r w:rsidRPr="00755E85">
        <w:rPr>
          <w:rFonts w:eastAsiaTheme="minorEastAsia" w:cstheme="minorBidi"/>
          <w:szCs w:val="22"/>
          <w:lang w:val="es-ES"/>
        </w:rPr>
        <w:t xml:space="preserve"> aprovechando la acción colectiva en tres esferas prioritarias:</w:t>
      </w:r>
    </w:p>
    <w:p w14:paraId="23DC5A04" w14:textId="36463699"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rPr>
      </w:pPr>
      <w:r w:rsidRPr="00755E85">
        <w:rPr>
          <w:lang w:val="es-ES"/>
        </w:rPr>
        <w:t xml:space="preserve">(1) </w:t>
      </w:r>
      <w:r w:rsidRPr="00755E85">
        <w:rPr>
          <w:lang w:val="es-ES"/>
        </w:rPr>
        <w:tab/>
      </w:r>
      <w:r w:rsidR="00752C6A">
        <w:rPr>
          <w:lang w:val="es-ES"/>
        </w:rPr>
        <w:t>O</w:t>
      </w:r>
      <w:r w:rsidRPr="00755E85">
        <w:rPr>
          <w:lang w:val="es-ES"/>
        </w:rPr>
        <w:t>bservaciones y vigilancia del sistema Tierra</w:t>
      </w:r>
      <w:r w:rsidR="00752C6A">
        <w:rPr>
          <w:lang w:val="es-ES"/>
        </w:rPr>
        <w:t>.</w:t>
      </w:r>
    </w:p>
    <w:p w14:paraId="57761196" w14:textId="7FE49D19"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rPr>
      </w:pPr>
      <w:r w:rsidRPr="00755E85">
        <w:rPr>
          <w:lang w:val="es-ES"/>
        </w:rPr>
        <w:t xml:space="preserve">(2) </w:t>
      </w:r>
      <w:r w:rsidRPr="00755E85">
        <w:rPr>
          <w:lang w:val="es-ES"/>
        </w:rPr>
        <w:tab/>
      </w:r>
      <w:r w:rsidR="00752C6A">
        <w:rPr>
          <w:lang w:val="es-ES"/>
        </w:rPr>
        <w:t>C</w:t>
      </w:r>
      <w:r w:rsidRPr="00755E85">
        <w:rPr>
          <w:lang w:val="es-ES"/>
        </w:rPr>
        <w:t>apacidades de predicción y aviso</w:t>
      </w:r>
      <w:r w:rsidR="00752C6A">
        <w:rPr>
          <w:lang w:val="es-ES"/>
        </w:rPr>
        <w:t>.</w:t>
      </w:r>
    </w:p>
    <w:p w14:paraId="678D81EE"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rPr>
      </w:pPr>
      <w:r w:rsidRPr="00755E85">
        <w:rPr>
          <w:lang w:val="es-ES"/>
        </w:rPr>
        <w:t xml:space="preserve">(3) </w:t>
      </w:r>
      <w:r w:rsidRPr="00755E85">
        <w:rPr>
          <w:lang w:val="es-ES"/>
        </w:rPr>
        <w:tab/>
        <w:t>Comunicación coordinada para la adopción de medidas preventivas.</w:t>
      </w:r>
    </w:p>
    <w:p w14:paraId="3ABE6A84" w14:textId="5183EBE5"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En la Resolución también se pedía a los Miembros y a sus gobiernos al más alto nivel que apoyara la iniciativa. La propuesta del Secretario General incluye recursos financieros adicionales de aproximadamente 5,5 millones de francos suizos asignados a las metas a largo plazo, así como la parte VI para acelerar la ejecución de esta iniciativa, tal como lo solicitan los Miembros; Sin embargo, esos recursos no serán suficientes por sí solos para financiar íntegramente esta iniciativa. También se necesitarán recursos</w:t>
      </w:r>
      <w:r w:rsidR="00B77066">
        <w:rPr>
          <w:rFonts w:eastAsiaTheme="minorEastAsia" w:cstheme="minorBidi"/>
          <w:szCs w:val="22"/>
          <w:lang w:val="es-ES"/>
        </w:rPr>
        <w:t xml:space="preserve"> </w:t>
      </w:r>
      <w:r w:rsidRPr="00755E85">
        <w:rPr>
          <w:rFonts w:eastAsiaTheme="minorEastAsia" w:cstheme="minorBidi"/>
          <w:szCs w:val="22"/>
          <w:lang w:val="es-ES"/>
        </w:rPr>
        <w:t>extrapresupuestarios importantes para garantizar que la OMM pueda prestar apoyo a los Miembros como únicos medios autorizados para la prestación de servicios de alerta temprana. Algunos Miembros ya han comenzado a comprometer contribuciones extrapresupuestarias para esta importante iniciativa y se invita a todos los demás Miembros a que sigan aportando contribuciones extrapresupuestarias a la ejecución de la Iniciativa Mundial de Las Naciones Unidas para la Alerta Temprana y la Adaptación.</w:t>
      </w:r>
    </w:p>
    <w:p w14:paraId="360928BD"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Aplicación de la infraestructura mundial de vigilancia de los gases de efecto invernadero</w:t>
      </w:r>
    </w:p>
    <w:p w14:paraId="186CABE3" w14:textId="1E2C40C8"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El Consejo Ejecutivo aprobó</w:t>
      </w:r>
      <w:hyperlink r:id="rId15" w:anchor="page=21" w:history="1">
        <w:r w:rsidRPr="00755E85">
          <w:rPr>
            <w:rStyle w:val="Hyperlink"/>
            <w:rFonts w:eastAsiaTheme="minorEastAsia" w:cstheme="minorBidi"/>
            <w:szCs w:val="22"/>
            <w:lang w:val="es-ES"/>
          </w:rPr>
          <w:t xml:space="preserve"> la Resolución 4 (EC-75)</w:t>
        </w:r>
      </w:hyperlink>
      <w:r w:rsidRPr="00755E85">
        <w:rPr>
          <w:rFonts w:eastAsiaTheme="minorEastAsia" w:cstheme="minorBidi"/>
          <w:szCs w:val="22"/>
          <w:lang w:val="es-ES"/>
        </w:rPr>
        <w:t xml:space="preserve"> — Desarrollo de una infraestructura mundial de vigilancia de los gases de efecto invernadero</w:t>
      </w:r>
      <w:r w:rsidR="000E3EA2">
        <w:rPr>
          <w:rFonts w:eastAsiaTheme="minorEastAsia" w:cstheme="minorBidi"/>
          <w:szCs w:val="22"/>
          <w:lang w:val="es-ES"/>
        </w:rPr>
        <w:t>,</w:t>
      </w:r>
      <w:r w:rsidRPr="00755E85">
        <w:rPr>
          <w:rFonts w:eastAsiaTheme="minorEastAsia" w:cstheme="minorBidi"/>
          <w:szCs w:val="22"/>
          <w:lang w:val="es-ES"/>
        </w:rPr>
        <w:t xml:space="preserve"> coordinada por la Organización Meteorológica Mundial. La presente Resolución responde a la urgente necesidad de comprender mejor el ciclo del carbono y, en particular, las fluctuaciones entre la tierra, los océanos y la atmósfera que repercuten considerablemente en las actividades de mitigación de los Miembros. Esto se basa en el patrimonio de las actividades de larga </w:t>
      </w:r>
      <w:r w:rsidR="00C87A3A">
        <w:rPr>
          <w:rFonts w:eastAsiaTheme="minorEastAsia" w:cstheme="minorBidi"/>
          <w:szCs w:val="22"/>
          <w:lang w:val="es-ES"/>
        </w:rPr>
        <w:t>duración</w:t>
      </w:r>
      <w:r w:rsidRPr="00755E85">
        <w:rPr>
          <w:rFonts w:eastAsiaTheme="minorEastAsia" w:cstheme="minorBidi"/>
          <w:szCs w:val="22"/>
          <w:lang w:val="es-ES"/>
        </w:rPr>
        <w:t xml:space="preserve"> de la OMM en materia de vigilancia de los gases de efecto invernadero y la prestación de servicios conexos, así como en el marco de la Vigilancia Meteorológica Mundial de gran éxito. En la Resolución 4 también se pidió al Secretario General que asignara los recursos necesarios, velando por unas actividades transectoriales adecuadas en la Secretaría, en apoyo del ulterior desarrollo y perfeccionamiento del concepto. El apoyo a la ejecución de la infraestructura mundial de vigilancia de los gases de efecto invernadero se expresó también en el documento de la Comisión de Infraestructura (INFCOM) que figura en el documento INFCOM-2/Doc. 4.2, en el que se recomendó que el Consejo Ejecutivo reflejara la nota conceptual conexa en el Plan Estratégico y Presupuesto de la OMM para 2024-2027.</w:t>
      </w:r>
    </w:p>
    <w:p w14:paraId="1C0AD30C"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lastRenderedPageBreak/>
        <w:t>La propuesta del Secretario General contiene una solicitud financiera adicional de aproximadamente 2,5 millones de francos suizos en el marco de los objetivos a largo plazo 2 y 4 destinada a ampliar los productos programáticos para el desarrollo y la ejecución de la infraestructura mundial coordinada para la vigilancia de los gases de efecto invernadero coordinada por la OMM en beneficio de los Miembros a nivel mundial.</w:t>
      </w:r>
    </w:p>
    <w:p w14:paraId="664F33F2"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Reorganización y optimización de la eficacia de las oficinas regionales y de representación de la OMM</w:t>
      </w:r>
    </w:p>
    <w:p w14:paraId="0788BAC9" w14:textId="2F95EB75" w:rsidR="00D028ED" w:rsidRPr="00755E85" w:rsidRDefault="0097536F" w:rsidP="00D028ED">
      <w:pPr>
        <w:tabs>
          <w:tab w:val="clear" w:pos="1134"/>
          <w:tab w:val="left" w:pos="1418"/>
        </w:tabs>
        <w:spacing w:before="240" w:after="240"/>
        <w:ind w:left="567"/>
        <w:jc w:val="left"/>
        <w:textAlignment w:val="baseline"/>
        <w:rPr>
          <w:rFonts w:eastAsiaTheme="minorEastAsia" w:cstheme="minorBidi"/>
          <w:szCs w:val="22"/>
          <w:lang w:val="es-ES" w:eastAsia="zh-CN"/>
        </w:rPr>
      </w:pPr>
      <w:hyperlink r:id="rId16" w:anchor="page=201" w:history="1">
        <w:r w:rsidR="007273AF">
          <w:rPr>
            <w:rStyle w:val="Hyperlink"/>
            <w:rFonts w:eastAsiaTheme="minorEastAsia" w:cstheme="minorBidi"/>
            <w:szCs w:val="22"/>
            <w:lang w:val="es-ES"/>
          </w:rPr>
          <w:t>L</w:t>
        </w:r>
        <w:r w:rsidR="00D028ED" w:rsidRPr="00755E85">
          <w:rPr>
            <w:rStyle w:val="Hyperlink"/>
            <w:rFonts w:eastAsiaTheme="minorEastAsia" w:cstheme="minorBidi"/>
            <w:szCs w:val="22"/>
            <w:lang w:val="es-ES"/>
          </w:rPr>
          <w:t>a Resolución 8 (Cg-Ext(2021)) —</w:t>
        </w:r>
      </w:hyperlink>
      <w:r w:rsidR="00403398" w:rsidRPr="00755E85">
        <w:rPr>
          <w:rStyle w:val="Hyperlink"/>
          <w:rFonts w:eastAsiaTheme="minorEastAsia" w:cstheme="minorBidi"/>
          <w:szCs w:val="22"/>
          <w:lang w:val="es-ES"/>
        </w:rPr>
        <w:t xml:space="preserve"> </w:t>
      </w:r>
      <w:r w:rsidR="00403398" w:rsidRPr="00755E85">
        <w:rPr>
          <w:rFonts w:eastAsiaTheme="minorEastAsia" w:cstheme="minorBidi"/>
          <w:szCs w:val="22"/>
          <w:lang w:val="es-ES"/>
        </w:rPr>
        <w:t xml:space="preserve">Examen exhaustivo del concepto y los enfoques regionales de la OMM, se pidió al Secretario General que, entre otras cosas, </w:t>
      </w:r>
      <w:r w:rsidR="005733BF">
        <w:rPr>
          <w:rFonts w:eastAsiaTheme="minorEastAsia" w:cstheme="minorBidi"/>
          <w:szCs w:val="22"/>
          <w:lang w:val="es-ES"/>
        </w:rPr>
        <w:t>“</w:t>
      </w:r>
      <w:r w:rsidR="00403398" w:rsidRPr="00755E85">
        <w:rPr>
          <w:rFonts w:eastAsiaTheme="minorEastAsia" w:cstheme="minorBidi"/>
          <w:szCs w:val="22"/>
          <w:lang w:val="es-ES"/>
        </w:rPr>
        <w:t>examinara de forma independiente la eficacia de las oficinas regionales y subregionales de la OMM con miras a mejorar el apoyo a los Miembros y la coordinación de las actividades regionales, identificando las necesidades de la OMM, maximizando la participación de la Organización en las actividades asociadas y mejorando la eficacia; Visibilidad y/o impacto de estas oficinas. Ello debería tener en cuenta, entre otras cosas, su ubicación estratégica en relación con los centros regionales de las Naciones Unidas y/o los lugares de los organismos políticos y económicos regionales, las oportunidades que ofrecen las reuniones en línea y los recursos existentes</w:t>
      </w:r>
      <w:r w:rsidR="005733BF">
        <w:rPr>
          <w:rFonts w:eastAsiaTheme="minorEastAsia" w:cstheme="minorBidi"/>
          <w:szCs w:val="22"/>
          <w:lang w:val="es-ES"/>
        </w:rPr>
        <w:t>”</w:t>
      </w:r>
      <w:r w:rsidR="00403398" w:rsidRPr="00755E85">
        <w:rPr>
          <w:rFonts w:eastAsiaTheme="minorEastAsia" w:cstheme="minorBidi"/>
          <w:szCs w:val="22"/>
          <w:lang w:val="es-ES"/>
        </w:rPr>
        <w:t>.</w:t>
      </w:r>
    </w:p>
    <w:p w14:paraId="23726BC4" w14:textId="7FB15BC0"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A raíz de esta solicitud, se realizó una revisión independiente. El examen independiente dio lugar a un informe que contenía varias recomendaciones sobre la ubicación física, la estructura, las consideraciones culturales </w:t>
      </w:r>
      <w:r w:rsidR="004E4784" w:rsidRPr="00755E85">
        <w:rPr>
          <w:rFonts w:eastAsiaTheme="minorEastAsia" w:cstheme="minorBidi"/>
          <w:szCs w:val="22"/>
          <w:lang w:val="es-ES"/>
        </w:rPr>
        <w:t>y</w:t>
      </w:r>
      <w:r w:rsidRPr="00755E85">
        <w:rPr>
          <w:rFonts w:eastAsiaTheme="minorEastAsia" w:cstheme="minorBidi"/>
          <w:szCs w:val="22"/>
          <w:lang w:val="es-ES"/>
        </w:rPr>
        <w:t xml:space="preserve"> lingüísticas, la composición del personal, la gestión y la comunicación de las oficinas regionales y de representación. En espera de las aportaciones de los Miembros, todavía no se ha </w:t>
      </w:r>
      <w:r w:rsidR="00F47B45">
        <w:rPr>
          <w:rFonts w:eastAsiaTheme="minorEastAsia" w:cstheme="minorBidi"/>
          <w:szCs w:val="22"/>
          <w:lang w:val="es-ES"/>
        </w:rPr>
        <w:t>estimado</w:t>
      </w:r>
      <w:r w:rsidRPr="00755E85">
        <w:rPr>
          <w:rFonts w:eastAsiaTheme="minorEastAsia" w:cstheme="minorBidi"/>
          <w:szCs w:val="22"/>
          <w:lang w:val="es-ES"/>
        </w:rPr>
        <w:t xml:space="preserve"> la determinación final de la ubicación física y la composición del personal de las oficinas regionales y de representación, que son los principales impulsores de la necesidad de costos y financiación</w:t>
      </w:r>
      <w:r w:rsidR="002222FD">
        <w:rPr>
          <w:rFonts w:eastAsiaTheme="minorEastAsia" w:cstheme="minorBidi"/>
          <w:szCs w:val="22"/>
          <w:lang w:val="es-ES"/>
        </w:rPr>
        <w:t>.</w:t>
      </w:r>
      <w:r w:rsidRPr="00755E85">
        <w:rPr>
          <w:rFonts w:eastAsiaTheme="minorEastAsia" w:cstheme="minorBidi"/>
          <w:szCs w:val="22"/>
          <w:lang w:val="es-ES"/>
        </w:rPr>
        <w:t xml:space="preserve"> No obstante, se estima que el escenario de costo completo de considerar la ubicación de la oficina y los cambios en la dotación de personal de conformidad con las recomendaciones formuladas en el informe aumentará el costo en curso, principalmente relacionado con el costo del personal en aproximadamente 11 millones de francos suizos por período financiero, con costos adicionales de al menos 500 000 francos suizos relacionados con posibles reubicaciones de oficinas. Se reconoce que todavía no se han realizado las determinaciones finales relativas a la ubicación de las oficinas y a las estructuras de dotación de personal y que ese aumento en un único período financiero no es asequible; Por consiguiente, en la propuesta del Secretario General se prevé un enfoque de ejecución gradual que permita mejorar la eficacia y eficiencia de las oficinas regionales y de representación durante el período financiero 2024-2027, pero que tenga un menor impacto en la propuesta máxima de gastos y mantenga la capacidad de adoptar decisiones relativas a la reforma de manera escalonada.</w:t>
      </w:r>
    </w:p>
    <w:p w14:paraId="779D0143"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Durante el período financiero 2020-2023, el Secretario General introdujo mejoras en el perfil de dotación de personal de las oficinas regionales y de representación mediante la creación de siete puestos regionales y la normalización de la línea de presentación de informes como Director, para los jefes de las oficinas regionales. Esos cambios se financiaron gracias a la eficiencia identificada y aplicada en los costos administrativos. La propuesta del Secretario General para el período financiero 2024-2027 incorpora 3,5 millones de francos suizos de fondos para iniciar la aplicación de la reforma de las oficinas regionales y de representación. El aumento prevé finalizar las ubicaciones de las oficinas regionales en el segundo bienio del período financiero 2024-2027 y revisar el perfil de dotación de personal durante el segundo bienio del período financiero 2024-2027 y el primer bienio del período financiero 2028-2031.</w:t>
      </w:r>
    </w:p>
    <w:p w14:paraId="5D4656FB"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Aplicación del Plan de Acción de Hidrología</w:t>
      </w:r>
    </w:p>
    <w:p w14:paraId="6E83CDE5" w14:textId="6E81D3A8"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En  la </w:t>
      </w:r>
      <w:hyperlink r:id="rId17" w:anchor="page=36" w:history="1">
        <w:r w:rsidRPr="00755E85">
          <w:rPr>
            <w:rStyle w:val="Hyperlink"/>
            <w:rFonts w:eastAsiaTheme="minorEastAsia" w:cstheme="minorBidi"/>
            <w:szCs w:val="22"/>
            <w:lang w:val="es-ES"/>
          </w:rPr>
          <w:t xml:space="preserve">Resolución 4 (Cg-Ext(2021)), </w:t>
        </w:r>
      </w:hyperlink>
      <w:r w:rsidRPr="00755E85">
        <w:rPr>
          <w:rFonts w:eastAsiaTheme="minorEastAsia" w:cstheme="minorBidi"/>
          <w:szCs w:val="22"/>
          <w:lang w:val="es-ES"/>
        </w:rPr>
        <w:t xml:space="preserve">el Congreso aprobó la Visión y Estrategia de Hidrología de la OMM y su correspondiente Plan de Acción, y pidió además que todas las </w:t>
      </w:r>
      <w:r w:rsidRPr="00755E85">
        <w:rPr>
          <w:rFonts w:eastAsiaTheme="minorEastAsia" w:cstheme="minorBidi"/>
          <w:szCs w:val="22"/>
          <w:lang w:val="es-ES"/>
        </w:rPr>
        <w:lastRenderedPageBreak/>
        <w:t>partes interesadas pertinentes (por ejemplo, la SERCOM, la INFCOM, la Junta de Investigación, etc.), con el apoyo de la Secretaría, velaran por que los resultados se integraran de forma adecuada en los planes de trabajo y las prioridades de los órganos que dirigirán. Con el fin de garantizar que la Secretaría de la OMM dispone de recursos suficientes para apoyar la ejecución del Plan de Acción en Hidrología, se necesitan recursos adicionales de aproximadamente 1,2 millones de francos suizos durante el período financiero 2024-2027. Los recursos necesarios se llevarán a cabo tanto en forma de actividades como de miembros clave del personal necesarios para ejecutar y apoyar el Plan de Acción en la Secretaría. Esto es necesario para responder a los cambios hidrológicos inducidos por el clima (por ejemplo, sequías más intensas y frecuentes, inundaciones más extremas y cambios drásticos en la gestión de los recursos hídricos) con efectos en cascada en las personas, las economías y los ecosistemas.</w:t>
      </w:r>
    </w:p>
    <w:p w14:paraId="517ECDEA"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Aplicación de productos adicionales asociados a los cambios en la criosfera y los impactos aguas abajo en los recursos hídricos y el aumento del nivel del mar</w:t>
      </w:r>
    </w:p>
    <w:p w14:paraId="08AE7070" w14:textId="7D8849C1"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En el </w:t>
      </w:r>
      <w:hyperlink r:id="rId18" w:anchor="page=85" w:history="1">
        <w:r w:rsidRPr="00755E85">
          <w:rPr>
            <w:rStyle w:val="Hyperlink"/>
            <w:rFonts w:eastAsiaTheme="minorEastAsia" w:cstheme="minorBidi"/>
            <w:szCs w:val="22"/>
            <w:lang w:val="es-ES"/>
          </w:rPr>
          <w:t>anexo a la Decisión 10 (EC-75)</w:t>
        </w:r>
      </w:hyperlink>
      <w:r w:rsidRPr="00755E85">
        <w:rPr>
          <w:rFonts w:eastAsiaTheme="minorEastAsia" w:cstheme="minorBidi"/>
          <w:szCs w:val="22"/>
          <w:lang w:val="es-ES"/>
        </w:rPr>
        <w:t xml:space="preserve">), que se refiere al enfoque del Plan Estratégico para 2024-2027, y en la que se respaldan las esferas prioritarias en cada objetivo, se incluye el nuevo Objetivo Estratégico 1.5 titulado </w:t>
      </w:r>
      <w:r w:rsidR="00265593">
        <w:rPr>
          <w:rFonts w:eastAsiaTheme="minorEastAsia" w:cstheme="minorBidi"/>
          <w:szCs w:val="22"/>
          <w:lang w:val="es-ES"/>
        </w:rPr>
        <w:t>“</w:t>
      </w:r>
      <w:r w:rsidRPr="00755E85">
        <w:rPr>
          <w:rFonts w:eastAsiaTheme="minorEastAsia" w:cstheme="minorBidi"/>
          <w:szCs w:val="22"/>
          <w:lang w:val="es-ES"/>
        </w:rPr>
        <w:t>Acelerar el desarrollo de sistemas y servicios integrados para hacer frente a los riesgos mundiales asociados a cambios irreversibles en la criosfera y los impactos aguas abajo en los recursos hídricos y el aumento del nivel del mar</w:t>
      </w:r>
      <w:r w:rsidR="00206691">
        <w:rPr>
          <w:rFonts w:eastAsiaTheme="minorEastAsia" w:cstheme="minorBidi"/>
          <w:szCs w:val="22"/>
          <w:lang w:val="es-ES"/>
        </w:rPr>
        <w:t>”.</w:t>
      </w:r>
      <w:r w:rsidRPr="00755E85">
        <w:rPr>
          <w:rFonts w:eastAsiaTheme="minorEastAsia" w:cstheme="minorBidi"/>
          <w:szCs w:val="22"/>
          <w:lang w:val="es-ES"/>
        </w:rPr>
        <w:t xml:space="preserve"> El objetivo estratégico 1.5 contiene tres esferas prioritarias específicas aprobadas por el Consejo Ejecutivo. La aplicación de los resultados presentados en el Plan de Funcionamiento para 2024-2027 en apoyo al desarrollo de esas esferas prioritarias requiere fondos adicionales que ascienden a aproximadamente 1,0 millones de francos durante el período financiero 2024-2027. Los recursos necesarios para obtener los resultados propuestos serán en forma de actividades específicas, así como de la fuerza de trabajo para llevar a cabo la ejecución y coordinación de esas actividades, y hacer frente a los desafíos relacionados con los cambios en las cubiertas de nieve (estacionales) y el rápido derretimiento de los glaciares. Cabe señalar que es probable que las Naciones Unidas dediquen el tema de 2025 a la criosfera, lo que requerirá recursos adicionales para que la OMM responda y participe.</w:t>
      </w:r>
    </w:p>
    <w:p w14:paraId="271C37C7" w14:textId="10A78B40"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En el cuadro 2 se presenta un resumen de estos resultados principales, entre ellos las metas a largo plazo que se abordan en su ejecución y la financiación incremental solicitada en virtud de la propuesta del Secretario General.</w:t>
      </w:r>
    </w:p>
    <w:p w14:paraId="0094A4E3" w14:textId="377596E5" w:rsidR="00D028ED" w:rsidRPr="00755E85" w:rsidRDefault="00D028ED" w:rsidP="00D028ED">
      <w:pPr>
        <w:tabs>
          <w:tab w:val="clear" w:pos="1134"/>
          <w:tab w:val="left" w:pos="1418"/>
        </w:tabs>
        <w:spacing w:before="360" w:after="200"/>
        <w:jc w:val="center"/>
        <w:textAlignment w:val="baseline"/>
        <w:rPr>
          <w:rFonts w:eastAsiaTheme="minorEastAsia" w:cstheme="minorBidi"/>
          <w:b/>
          <w:bCs/>
          <w:szCs w:val="22"/>
          <w:lang w:val="es-ES" w:eastAsia="zh-CN"/>
        </w:rPr>
      </w:pPr>
      <w:r w:rsidRPr="00755E85">
        <w:rPr>
          <w:rFonts w:eastAsiaTheme="minorEastAsia" w:cstheme="minorBidi"/>
          <w:b/>
          <w:szCs w:val="22"/>
          <w:lang w:val="es-ES"/>
        </w:rPr>
        <w:t>Cuadro 2.</w:t>
      </w:r>
    </w:p>
    <w:p w14:paraId="618658E7" w14:textId="77777777" w:rsidR="00D028ED" w:rsidRPr="00755E85" w:rsidRDefault="00D028ED" w:rsidP="00D028ED">
      <w:pPr>
        <w:tabs>
          <w:tab w:val="clear" w:pos="1134"/>
          <w:tab w:val="left" w:pos="1418"/>
        </w:tabs>
        <w:spacing w:after="200"/>
        <w:jc w:val="center"/>
        <w:textAlignment w:val="baseline"/>
        <w:rPr>
          <w:rFonts w:eastAsiaTheme="minorEastAsia" w:cstheme="minorBidi"/>
          <w:i/>
          <w:szCs w:val="22"/>
          <w:lang w:val="es-ES" w:eastAsia="zh-CN"/>
        </w:rPr>
      </w:pPr>
      <w:r w:rsidRPr="00755E85">
        <w:rPr>
          <w:rFonts w:eastAsiaTheme="minorEastAsia" w:cstheme="minorBidi"/>
          <w:b/>
          <w:szCs w:val="22"/>
          <w:lang w:val="es-ES"/>
        </w:rPr>
        <w:t>Prestaciones clave en virtud de la propuesta del Secretario General</w:t>
      </w:r>
      <w:r w:rsidRPr="00755E85">
        <w:rPr>
          <w:rFonts w:eastAsiaTheme="minorEastAsia" w:cstheme="minorBidi"/>
          <w:b/>
          <w:i/>
          <w:szCs w:val="22"/>
          <w:lang w:val="es-ES"/>
        </w:rPr>
        <w:br/>
      </w:r>
      <w:r w:rsidRPr="00755E85">
        <w:rPr>
          <w:rFonts w:eastAsiaTheme="minorEastAsia" w:cstheme="minorBidi"/>
          <w:i/>
          <w:szCs w:val="22"/>
          <w:lang w:val="es-ES"/>
        </w:rPr>
        <w:t xml:space="preserve"> (montos en miles de francos suizos)</w:t>
      </w:r>
    </w:p>
    <w:p w14:paraId="7A0D77D9" w14:textId="77777777" w:rsidR="00D028ED" w:rsidRPr="003C3066" w:rsidRDefault="00D028ED" w:rsidP="00D028ED">
      <w:pPr>
        <w:tabs>
          <w:tab w:val="clear" w:pos="1134"/>
          <w:tab w:val="left" w:pos="1418"/>
        </w:tabs>
        <w:spacing w:after="200"/>
        <w:jc w:val="left"/>
        <w:textAlignment w:val="baseline"/>
        <w:rPr>
          <w:rFonts w:ascii="Times New Roman" w:eastAsia="MS Mincho" w:hAnsi="Times New Roman" w:cs="Times New Roman"/>
          <w:szCs w:val="22"/>
          <w:lang w:eastAsia="zh-TW"/>
        </w:rPr>
      </w:pPr>
      <w:r w:rsidRPr="00755E85">
        <w:rPr>
          <w:rFonts w:eastAsiaTheme="minorEastAsia" w:cstheme="minorBidi"/>
          <w:noProof/>
          <w:szCs w:val="22"/>
          <w:lang w:val="es-ES"/>
        </w:rPr>
        <w:t xml:space="preserve"> </w:t>
      </w:r>
      <w:r w:rsidRPr="003C3066">
        <w:rPr>
          <w:rFonts w:eastAsiaTheme="minorEastAsia" w:cstheme="minorBidi"/>
          <w:noProof/>
          <w:szCs w:val="22"/>
        </w:rPr>
        <w:t xml:space="preserve">LINK Excel.Sheet.12 "https://wmoomm.sharepoint.com/sites/GS-Finance/Shared%20Documents/Finance/Budget/2024-2027/TABLE%20FOR%20DOCUMENT.xlsx" "Table 2!R3C1:R8C5" \a \f 4 \h  \* MERGEFORMAT </w:t>
      </w:r>
    </w:p>
    <w:tbl>
      <w:tblPr>
        <w:tblW w:w="5000" w:type="pct"/>
        <w:tblLayout w:type="fixed"/>
        <w:tblLook w:val="04A0" w:firstRow="1" w:lastRow="0" w:firstColumn="1" w:lastColumn="0" w:noHBand="0" w:noVBand="1"/>
      </w:tblPr>
      <w:tblGrid>
        <w:gridCol w:w="5103"/>
        <w:gridCol w:w="2518"/>
        <w:gridCol w:w="2018"/>
      </w:tblGrid>
      <w:tr w:rsidR="00D028ED" w:rsidRPr="003C3066" w14:paraId="6943AEB7" w14:textId="77777777" w:rsidTr="00E97E96">
        <w:trPr>
          <w:trHeight w:val="883"/>
        </w:trPr>
        <w:tc>
          <w:tcPr>
            <w:tcW w:w="2647" w:type="pct"/>
            <w:tcBorders>
              <w:top w:val="single" w:sz="8" w:space="0" w:color="auto"/>
              <w:left w:val="nil"/>
              <w:bottom w:val="single" w:sz="8" w:space="0" w:color="auto"/>
              <w:right w:val="nil"/>
            </w:tcBorders>
            <w:shd w:val="clear" w:color="auto" w:fill="F2F2F2" w:themeFill="background1" w:themeFillShade="F2"/>
            <w:vAlign w:val="center"/>
            <w:hideMark/>
          </w:tcPr>
          <w:p w14:paraId="71BBB4A4" w14:textId="1149F75D" w:rsidR="00D028ED" w:rsidRPr="003C3066" w:rsidRDefault="000A2F68" w:rsidP="00D028ED">
            <w:pPr>
              <w:tabs>
                <w:tab w:val="clear" w:pos="1134"/>
                <w:tab w:val="left" w:pos="1418"/>
              </w:tabs>
              <w:spacing w:before="60" w:after="60"/>
              <w:jc w:val="center"/>
              <w:rPr>
                <w:rFonts w:eastAsia="Times New Roman" w:cs="Calibri"/>
                <w:color w:val="000000"/>
              </w:rPr>
            </w:pPr>
            <w:r>
              <w:t>Entregables</w:t>
            </w:r>
          </w:p>
        </w:tc>
        <w:tc>
          <w:tcPr>
            <w:tcW w:w="1306" w:type="pct"/>
            <w:tcBorders>
              <w:top w:val="single" w:sz="8" w:space="0" w:color="auto"/>
              <w:left w:val="nil"/>
              <w:bottom w:val="single" w:sz="8" w:space="0" w:color="auto"/>
              <w:right w:val="nil"/>
            </w:tcBorders>
            <w:shd w:val="clear" w:color="auto" w:fill="F2F2F2" w:themeFill="background1" w:themeFillShade="F2"/>
            <w:vAlign w:val="center"/>
            <w:hideMark/>
          </w:tcPr>
          <w:p w14:paraId="490DFEAC" w14:textId="5B0B3890" w:rsidR="00D028ED" w:rsidRPr="00755E85" w:rsidRDefault="00D028ED" w:rsidP="00D028ED">
            <w:pPr>
              <w:tabs>
                <w:tab w:val="clear" w:pos="1134"/>
                <w:tab w:val="left" w:pos="1418"/>
              </w:tabs>
              <w:spacing w:before="60" w:after="60"/>
              <w:ind w:left="-192"/>
              <w:jc w:val="center"/>
              <w:rPr>
                <w:rFonts w:eastAsia="Times New Roman" w:cs="Calibri"/>
                <w:color w:val="000000"/>
                <w:lang w:val="es-ES" w:eastAsia="zh-CN"/>
              </w:rPr>
            </w:pPr>
            <w:r w:rsidRPr="00755E85">
              <w:rPr>
                <w:rFonts w:eastAsia="Times New Roman" w:cs="Calibri"/>
                <w:color w:val="000000"/>
                <w:lang w:val="es-ES"/>
              </w:rPr>
              <w:t xml:space="preserve">Objetivos a largo </w:t>
            </w:r>
            <w:r w:rsidR="00E97E96">
              <w:rPr>
                <w:rFonts w:eastAsia="Times New Roman" w:cs="Calibri"/>
                <w:color w:val="000000"/>
                <w:lang w:val="es-ES"/>
              </w:rPr>
              <w:t>plazo</w:t>
            </w:r>
            <w:r w:rsidRPr="00755E85">
              <w:rPr>
                <w:rFonts w:eastAsia="Times New Roman" w:cs="Calibri"/>
                <w:color w:val="000000"/>
                <w:lang w:val="es-ES"/>
              </w:rPr>
              <w:t xml:space="preserve"> del tiempo abordados</w:t>
            </w:r>
          </w:p>
        </w:tc>
        <w:tc>
          <w:tcPr>
            <w:tcW w:w="1047" w:type="pct"/>
            <w:tcBorders>
              <w:top w:val="single" w:sz="8" w:space="0" w:color="auto"/>
              <w:left w:val="nil"/>
              <w:bottom w:val="single" w:sz="8" w:space="0" w:color="auto"/>
              <w:right w:val="nil"/>
            </w:tcBorders>
            <w:shd w:val="clear" w:color="auto" w:fill="F2F2F2" w:themeFill="background1" w:themeFillShade="F2"/>
            <w:vAlign w:val="center"/>
            <w:hideMark/>
          </w:tcPr>
          <w:p w14:paraId="38EFF981" w14:textId="77777777" w:rsidR="00D028ED" w:rsidRPr="003C3066" w:rsidRDefault="00D028ED" w:rsidP="00D028ED">
            <w:pPr>
              <w:tabs>
                <w:tab w:val="clear" w:pos="1134"/>
                <w:tab w:val="left" w:pos="1418"/>
              </w:tabs>
              <w:spacing w:before="60" w:after="60"/>
              <w:jc w:val="center"/>
              <w:rPr>
                <w:rFonts w:eastAsia="Times New Roman" w:cs="Calibri"/>
                <w:color w:val="000000"/>
                <w:lang w:eastAsia="zh-CN"/>
              </w:rPr>
            </w:pPr>
            <w:r w:rsidRPr="003C3066">
              <w:rPr>
                <w:rFonts w:eastAsia="Times New Roman" w:cs="Calibri"/>
                <w:color w:val="000000"/>
              </w:rPr>
              <w:t>Se solicita financiación incremental</w:t>
            </w:r>
          </w:p>
        </w:tc>
      </w:tr>
      <w:tr w:rsidR="00D028ED" w:rsidRPr="003C3066" w14:paraId="46460BE5" w14:textId="77777777" w:rsidTr="00E97E96">
        <w:trPr>
          <w:trHeight w:val="630"/>
        </w:trPr>
        <w:tc>
          <w:tcPr>
            <w:tcW w:w="2647" w:type="pct"/>
            <w:tcBorders>
              <w:top w:val="nil"/>
              <w:left w:val="nil"/>
              <w:bottom w:val="nil"/>
              <w:right w:val="nil"/>
            </w:tcBorders>
            <w:shd w:val="clear" w:color="000000" w:fill="FFFFFF"/>
            <w:vAlign w:val="center"/>
            <w:hideMark/>
          </w:tcPr>
          <w:p w14:paraId="64928F0D" w14:textId="0CBDE8E8" w:rsidR="00D028ED" w:rsidRPr="00755E85" w:rsidRDefault="00D028ED" w:rsidP="00D028ED">
            <w:pPr>
              <w:tabs>
                <w:tab w:val="clear" w:pos="1134"/>
                <w:tab w:val="left" w:pos="1418"/>
              </w:tabs>
              <w:spacing w:before="60" w:after="60"/>
              <w:jc w:val="left"/>
              <w:rPr>
                <w:rFonts w:eastAsia="Times New Roman" w:cs="Calibri"/>
                <w:color w:val="000000"/>
                <w:lang w:val="es-ES" w:eastAsia="zh-CN"/>
              </w:rPr>
            </w:pPr>
            <w:r w:rsidRPr="00755E85">
              <w:rPr>
                <w:rFonts w:eastAsia="Times New Roman" w:cs="Calibri"/>
                <w:color w:val="000000"/>
                <w:lang w:val="es-ES"/>
              </w:rPr>
              <w:t xml:space="preserve">Sistemas de alerta temprana para todos implementados para </w:t>
            </w:r>
            <w:r w:rsidR="00D1459D">
              <w:rPr>
                <w:rFonts w:eastAsia="Times New Roman" w:cs="Calibri"/>
                <w:color w:val="000000"/>
                <w:lang w:val="es-ES"/>
              </w:rPr>
              <w:t xml:space="preserve">el </w:t>
            </w:r>
            <w:r w:rsidRPr="00755E85">
              <w:rPr>
                <w:rFonts w:eastAsia="Times New Roman" w:cs="Calibri"/>
                <w:color w:val="000000"/>
                <w:lang w:val="es-ES"/>
              </w:rPr>
              <w:t>2027</w:t>
            </w:r>
          </w:p>
        </w:tc>
        <w:tc>
          <w:tcPr>
            <w:tcW w:w="1306" w:type="pct"/>
            <w:tcBorders>
              <w:top w:val="nil"/>
              <w:left w:val="nil"/>
              <w:bottom w:val="nil"/>
              <w:right w:val="nil"/>
            </w:tcBorders>
            <w:shd w:val="clear" w:color="000000" w:fill="FFFFFF"/>
            <w:vAlign w:val="center"/>
            <w:hideMark/>
          </w:tcPr>
          <w:p w14:paraId="6586C721" w14:textId="1C065B8F" w:rsidR="00D028ED" w:rsidRPr="00755E85" w:rsidRDefault="00D028ED" w:rsidP="00D028ED">
            <w:pPr>
              <w:tabs>
                <w:tab w:val="clear" w:pos="1134"/>
                <w:tab w:val="left" w:pos="1418"/>
              </w:tabs>
              <w:spacing w:before="60" w:after="60"/>
              <w:ind w:left="-192"/>
              <w:jc w:val="center"/>
              <w:rPr>
                <w:rFonts w:eastAsia="Times New Roman" w:cs="Calibri"/>
                <w:color w:val="000000"/>
                <w:lang w:val="es-ES" w:eastAsia="zh-CN"/>
              </w:rPr>
            </w:pPr>
            <w:r w:rsidRPr="00755E85">
              <w:rPr>
                <w:rFonts w:eastAsia="Times New Roman" w:cs="Calibri"/>
                <w:color w:val="000000"/>
                <w:lang w:val="es-ES"/>
              </w:rPr>
              <w:t xml:space="preserve">Objetivos a largo </w:t>
            </w:r>
            <w:r w:rsidR="00E97E96">
              <w:rPr>
                <w:rFonts w:eastAsia="Times New Roman" w:cs="Calibri"/>
                <w:color w:val="000000"/>
                <w:lang w:val="es-ES"/>
              </w:rPr>
              <w:t>plazo</w:t>
            </w:r>
            <w:r w:rsidRPr="00755E85">
              <w:rPr>
                <w:rFonts w:eastAsia="Times New Roman" w:cs="Calibri"/>
                <w:color w:val="000000"/>
                <w:lang w:val="es-ES"/>
              </w:rPr>
              <w:t xml:space="preserve"> 1</w:t>
            </w:r>
            <w:r w:rsidRPr="00755E85">
              <w:rPr>
                <w:rFonts w:eastAsia="Times New Roman" w:cs="Calibri"/>
                <w:color w:val="000000"/>
                <w:szCs w:val="22"/>
                <w:lang w:val="es-ES"/>
              </w:rPr>
              <w:t xml:space="preserve"> a 5</w:t>
            </w:r>
            <w:r w:rsidRPr="00755E85">
              <w:rPr>
                <w:rFonts w:eastAsia="Times New Roman" w:cs="Calibri"/>
                <w:color w:val="000000"/>
                <w:lang w:val="es-ES"/>
              </w:rPr>
              <w:t>, parte VI</w:t>
            </w:r>
          </w:p>
        </w:tc>
        <w:tc>
          <w:tcPr>
            <w:tcW w:w="1047" w:type="pct"/>
            <w:tcBorders>
              <w:top w:val="nil"/>
              <w:left w:val="nil"/>
              <w:bottom w:val="nil"/>
              <w:right w:val="nil"/>
            </w:tcBorders>
            <w:shd w:val="clear" w:color="000000" w:fill="FFFFFF"/>
            <w:vAlign w:val="center"/>
            <w:hideMark/>
          </w:tcPr>
          <w:p w14:paraId="7E921BEB" w14:textId="364E83B9" w:rsidR="00D028ED" w:rsidRPr="003C3066" w:rsidRDefault="00D028ED" w:rsidP="00D028ED">
            <w:pPr>
              <w:tabs>
                <w:tab w:val="clear" w:pos="1134"/>
                <w:tab w:val="left" w:pos="1418"/>
              </w:tabs>
              <w:spacing w:before="60" w:after="60"/>
              <w:ind w:right="-117" w:firstLineChars="100" w:firstLine="200"/>
              <w:jc w:val="left"/>
              <w:rPr>
                <w:rFonts w:eastAsia="Times New Roman" w:cs="Calibri"/>
                <w:color w:val="000000"/>
                <w:lang w:eastAsia="zh-CN"/>
              </w:rPr>
            </w:pPr>
            <w:r w:rsidRPr="003C3066">
              <w:rPr>
                <w:rFonts w:eastAsia="Times New Roman" w:cs="Calibri"/>
                <w:color w:val="000000"/>
              </w:rPr>
              <w:t>5,5 millones</w:t>
            </w:r>
            <w:r w:rsidR="000573F4">
              <w:rPr>
                <w:rFonts w:eastAsia="Times New Roman" w:cs="Calibri"/>
                <w:color w:val="000000"/>
              </w:rPr>
              <w:t xml:space="preserve"> </w:t>
            </w:r>
            <w:r w:rsidR="000573F4" w:rsidRPr="003C3066">
              <w:rPr>
                <w:rFonts w:eastAsia="Times New Roman" w:cs="Calibri"/>
                <w:color w:val="000000"/>
              </w:rPr>
              <w:t>CHF</w:t>
            </w:r>
          </w:p>
        </w:tc>
      </w:tr>
      <w:tr w:rsidR="00D028ED" w:rsidRPr="003C3066" w14:paraId="6D392D50" w14:textId="77777777" w:rsidTr="00E97E96">
        <w:trPr>
          <w:trHeight w:val="750"/>
        </w:trPr>
        <w:tc>
          <w:tcPr>
            <w:tcW w:w="2647" w:type="pct"/>
            <w:tcBorders>
              <w:top w:val="single" w:sz="4" w:space="0" w:color="D9D9D9"/>
              <w:left w:val="nil"/>
              <w:bottom w:val="single" w:sz="4" w:space="0" w:color="D9D9D9"/>
              <w:right w:val="nil"/>
            </w:tcBorders>
            <w:shd w:val="clear" w:color="000000" w:fill="FFFFFF"/>
            <w:vAlign w:val="center"/>
            <w:hideMark/>
          </w:tcPr>
          <w:p w14:paraId="08431E0C" w14:textId="77777777" w:rsidR="00D028ED" w:rsidRPr="00755E85" w:rsidRDefault="00D028ED" w:rsidP="00D028ED">
            <w:pPr>
              <w:tabs>
                <w:tab w:val="clear" w:pos="1134"/>
                <w:tab w:val="left" w:pos="1418"/>
              </w:tabs>
              <w:spacing w:before="60" w:after="60"/>
              <w:jc w:val="left"/>
              <w:rPr>
                <w:rFonts w:eastAsia="Times New Roman" w:cs="Calibri"/>
                <w:color w:val="000000"/>
                <w:lang w:val="es-ES" w:eastAsia="zh-CN"/>
              </w:rPr>
            </w:pPr>
            <w:r w:rsidRPr="00755E85">
              <w:rPr>
                <w:rFonts w:eastAsia="Times New Roman" w:cs="Calibri"/>
                <w:color w:val="000000"/>
                <w:lang w:val="es-ES"/>
              </w:rPr>
              <w:t>Aplicación de la infraestructura mundial de vigilancia de los gases de efecto invernadero</w:t>
            </w:r>
          </w:p>
        </w:tc>
        <w:tc>
          <w:tcPr>
            <w:tcW w:w="1306" w:type="pct"/>
            <w:tcBorders>
              <w:top w:val="single" w:sz="4" w:space="0" w:color="D9D9D9"/>
              <w:left w:val="nil"/>
              <w:bottom w:val="single" w:sz="4" w:space="0" w:color="D9D9D9"/>
              <w:right w:val="nil"/>
            </w:tcBorders>
            <w:shd w:val="clear" w:color="000000" w:fill="FFFFFF"/>
            <w:vAlign w:val="center"/>
            <w:hideMark/>
          </w:tcPr>
          <w:p w14:paraId="11E45B46" w14:textId="6C9CB9C3" w:rsidR="00D028ED" w:rsidRPr="00755E85" w:rsidRDefault="006D05CC" w:rsidP="00D028ED">
            <w:pPr>
              <w:tabs>
                <w:tab w:val="clear" w:pos="1134"/>
                <w:tab w:val="left" w:pos="1418"/>
              </w:tabs>
              <w:spacing w:before="60" w:after="60"/>
              <w:ind w:left="-192"/>
              <w:jc w:val="center"/>
              <w:rPr>
                <w:rFonts w:eastAsia="Times New Roman" w:cs="Calibri"/>
                <w:color w:val="000000"/>
                <w:lang w:val="es-ES" w:eastAsia="zh-CN"/>
              </w:rPr>
            </w:pPr>
            <w:r>
              <w:rPr>
                <w:rFonts w:eastAsia="Times New Roman" w:cs="Calibri"/>
                <w:color w:val="000000"/>
                <w:lang w:val="es-ES"/>
              </w:rPr>
              <w:t>Objetivo</w:t>
            </w:r>
            <w:r w:rsidR="00D1459D">
              <w:rPr>
                <w:rFonts w:eastAsia="Times New Roman" w:cs="Calibri"/>
                <w:color w:val="000000"/>
                <w:lang w:val="es-ES"/>
              </w:rPr>
              <w:t>s</w:t>
            </w:r>
            <w:r w:rsidR="00D028ED" w:rsidRPr="00755E85">
              <w:rPr>
                <w:rFonts w:eastAsia="Times New Roman" w:cs="Calibri"/>
                <w:color w:val="000000"/>
                <w:lang w:val="es-ES"/>
              </w:rPr>
              <w:t xml:space="preserve"> a largo </w:t>
            </w:r>
            <w:r w:rsidR="00E97E96">
              <w:rPr>
                <w:rFonts w:eastAsia="Times New Roman" w:cs="Calibri"/>
                <w:color w:val="000000"/>
                <w:lang w:val="es-ES"/>
              </w:rPr>
              <w:t xml:space="preserve">plazo </w:t>
            </w:r>
            <w:r w:rsidR="00D028ED" w:rsidRPr="00755E85">
              <w:rPr>
                <w:rFonts w:eastAsia="Times New Roman" w:cs="Calibri"/>
                <w:color w:val="000000"/>
                <w:lang w:val="es-ES"/>
              </w:rPr>
              <w:t>2</w:t>
            </w:r>
            <w:r w:rsidR="00D028ED" w:rsidRPr="00755E85">
              <w:rPr>
                <w:rFonts w:eastAsia="Times New Roman" w:cs="Calibri"/>
                <w:color w:val="000000"/>
                <w:szCs w:val="22"/>
                <w:lang w:val="es-ES"/>
              </w:rPr>
              <w:t xml:space="preserve"> a 4</w:t>
            </w:r>
          </w:p>
        </w:tc>
        <w:tc>
          <w:tcPr>
            <w:tcW w:w="1047" w:type="pct"/>
            <w:tcBorders>
              <w:top w:val="single" w:sz="4" w:space="0" w:color="D9D9D9"/>
              <w:left w:val="nil"/>
              <w:bottom w:val="single" w:sz="4" w:space="0" w:color="D9D9D9"/>
              <w:right w:val="nil"/>
            </w:tcBorders>
            <w:shd w:val="clear" w:color="000000" w:fill="FFFFFF"/>
            <w:vAlign w:val="center"/>
            <w:hideMark/>
          </w:tcPr>
          <w:p w14:paraId="008E46A7" w14:textId="15939B02" w:rsidR="00D028ED" w:rsidRPr="003C3066" w:rsidRDefault="00D028ED" w:rsidP="00D028ED">
            <w:pPr>
              <w:tabs>
                <w:tab w:val="clear" w:pos="1134"/>
                <w:tab w:val="left" w:pos="1418"/>
              </w:tabs>
              <w:spacing w:before="60" w:after="60"/>
              <w:ind w:right="-117" w:firstLineChars="100" w:firstLine="200"/>
              <w:jc w:val="left"/>
              <w:rPr>
                <w:rFonts w:eastAsia="Times New Roman" w:cs="Calibri"/>
                <w:color w:val="000000"/>
                <w:lang w:eastAsia="zh-CN"/>
              </w:rPr>
            </w:pPr>
            <w:r w:rsidRPr="003C3066">
              <w:rPr>
                <w:rFonts w:eastAsia="Times New Roman" w:cs="Calibri"/>
                <w:color w:val="000000"/>
              </w:rPr>
              <w:t>2,5 millones</w:t>
            </w:r>
            <w:r w:rsidR="000573F4">
              <w:rPr>
                <w:rFonts w:eastAsia="Times New Roman" w:cs="Calibri"/>
                <w:color w:val="000000"/>
              </w:rPr>
              <w:t xml:space="preserve"> </w:t>
            </w:r>
            <w:r w:rsidR="000573F4" w:rsidRPr="003C3066">
              <w:rPr>
                <w:rFonts w:eastAsia="Times New Roman" w:cs="Calibri"/>
                <w:color w:val="000000"/>
              </w:rPr>
              <w:t>CHF</w:t>
            </w:r>
          </w:p>
        </w:tc>
      </w:tr>
      <w:tr w:rsidR="00D028ED" w:rsidRPr="003C3066" w14:paraId="6841216B" w14:textId="77777777" w:rsidTr="00E97E96">
        <w:trPr>
          <w:trHeight w:val="1320"/>
        </w:trPr>
        <w:tc>
          <w:tcPr>
            <w:tcW w:w="2647" w:type="pct"/>
            <w:tcBorders>
              <w:top w:val="nil"/>
              <w:left w:val="nil"/>
              <w:bottom w:val="single" w:sz="4" w:space="0" w:color="D9D9D9"/>
              <w:right w:val="nil"/>
            </w:tcBorders>
            <w:shd w:val="clear" w:color="000000" w:fill="FFFFFF"/>
            <w:vAlign w:val="center"/>
            <w:hideMark/>
          </w:tcPr>
          <w:p w14:paraId="458C3C31" w14:textId="77777777" w:rsidR="00D028ED" w:rsidRPr="00755E85" w:rsidRDefault="00D028ED" w:rsidP="00D028ED">
            <w:pPr>
              <w:tabs>
                <w:tab w:val="clear" w:pos="1134"/>
                <w:tab w:val="left" w:pos="1418"/>
              </w:tabs>
              <w:spacing w:before="60" w:after="60"/>
              <w:jc w:val="left"/>
              <w:rPr>
                <w:rFonts w:eastAsia="Times New Roman" w:cs="Calibri"/>
                <w:color w:val="000000"/>
                <w:lang w:val="es-ES" w:eastAsia="zh-CN"/>
              </w:rPr>
            </w:pPr>
            <w:r w:rsidRPr="00755E85">
              <w:rPr>
                <w:rFonts w:eastAsia="Times New Roman" w:cs="Calibri"/>
                <w:color w:val="000000"/>
                <w:lang w:val="es-ES"/>
              </w:rPr>
              <w:lastRenderedPageBreak/>
              <w:t>Reorganización y optimización de la eficacia de las oficinas regionales y de representación de la OMM</w:t>
            </w:r>
          </w:p>
        </w:tc>
        <w:tc>
          <w:tcPr>
            <w:tcW w:w="1306" w:type="pct"/>
            <w:tcBorders>
              <w:top w:val="nil"/>
              <w:left w:val="nil"/>
              <w:bottom w:val="single" w:sz="4" w:space="0" w:color="D9D9D9"/>
              <w:right w:val="nil"/>
            </w:tcBorders>
            <w:shd w:val="clear" w:color="000000" w:fill="FFFFFF"/>
            <w:vAlign w:val="center"/>
            <w:hideMark/>
          </w:tcPr>
          <w:p w14:paraId="2FEDF8FF" w14:textId="6EF0DF45" w:rsidR="00D028ED" w:rsidRPr="00755E85" w:rsidRDefault="00D1459D" w:rsidP="00D028ED">
            <w:pPr>
              <w:tabs>
                <w:tab w:val="clear" w:pos="1134"/>
                <w:tab w:val="left" w:pos="1418"/>
              </w:tabs>
              <w:spacing w:before="60" w:after="60"/>
              <w:ind w:left="-192"/>
              <w:jc w:val="center"/>
              <w:rPr>
                <w:rFonts w:eastAsia="Times New Roman" w:cs="Calibri"/>
                <w:color w:val="000000"/>
                <w:lang w:val="es-ES" w:eastAsia="zh-CN"/>
              </w:rPr>
            </w:pPr>
            <w:r>
              <w:rPr>
                <w:rFonts w:eastAsia="Times New Roman" w:cs="Calibri"/>
                <w:color w:val="000000"/>
                <w:lang w:val="es-ES"/>
              </w:rPr>
              <w:t>Objetivo a largo plaz</w:t>
            </w:r>
            <w:r w:rsidR="00700C19">
              <w:rPr>
                <w:rFonts w:eastAsia="Times New Roman" w:cs="Calibri"/>
                <w:color w:val="000000"/>
                <w:lang w:val="es-ES"/>
              </w:rPr>
              <w:t>o 4, objetivos a largo plazo 1 a 3</w:t>
            </w:r>
          </w:p>
        </w:tc>
        <w:tc>
          <w:tcPr>
            <w:tcW w:w="1047" w:type="pct"/>
            <w:tcBorders>
              <w:top w:val="nil"/>
              <w:left w:val="nil"/>
              <w:bottom w:val="single" w:sz="4" w:space="0" w:color="D9D9D9"/>
              <w:right w:val="nil"/>
            </w:tcBorders>
            <w:shd w:val="clear" w:color="000000" w:fill="FFFFFF"/>
            <w:vAlign w:val="center"/>
            <w:hideMark/>
          </w:tcPr>
          <w:p w14:paraId="57761644" w14:textId="01CCA423" w:rsidR="00D028ED" w:rsidRPr="003C3066" w:rsidRDefault="00D028ED" w:rsidP="00D028ED">
            <w:pPr>
              <w:tabs>
                <w:tab w:val="clear" w:pos="1134"/>
                <w:tab w:val="left" w:pos="1418"/>
              </w:tabs>
              <w:spacing w:before="60" w:after="60"/>
              <w:ind w:right="-117" w:firstLineChars="100" w:firstLine="200"/>
              <w:jc w:val="left"/>
              <w:rPr>
                <w:rFonts w:eastAsia="Times New Roman" w:cs="Calibri"/>
                <w:color w:val="000000"/>
                <w:lang w:eastAsia="zh-CN"/>
              </w:rPr>
            </w:pPr>
            <w:r w:rsidRPr="003C3066">
              <w:rPr>
                <w:rFonts w:eastAsia="Times New Roman" w:cs="Calibri"/>
                <w:color w:val="000000"/>
              </w:rPr>
              <w:t>3,5 millones</w:t>
            </w:r>
            <w:r w:rsidR="000573F4">
              <w:rPr>
                <w:rFonts w:eastAsia="Times New Roman" w:cs="Calibri"/>
                <w:color w:val="000000"/>
              </w:rPr>
              <w:t xml:space="preserve"> </w:t>
            </w:r>
            <w:r w:rsidR="000573F4" w:rsidRPr="003C3066">
              <w:rPr>
                <w:rFonts w:eastAsia="Times New Roman" w:cs="Calibri"/>
                <w:color w:val="000000"/>
              </w:rPr>
              <w:t>CHF</w:t>
            </w:r>
          </w:p>
        </w:tc>
      </w:tr>
      <w:tr w:rsidR="00D028ED" w:rsidRPr="003C3066" w14:paraId="5F5383AF" w14:textId="77777777" w:rsidTr="00E97E96">
        <w:trPr>
          <w:trHeight w:val="735"/>
        </w:trPr>
        <w:tc>
          <w:tcPr>
            <w:tcW w:w="2647" w:type="pct"/>
            <w:tcBorders>
              <w:top w:val="nil"/>
              <w:left w:val="nil"/>
              <w:bottom w:val="single" w:sz="4" w:space="0" w:color="D9D9D9"/>
              <w:right w:val="nil"/>
            </w:tcBorders>
            <w:shd w:val="clear" w:color="000000" w:fill="FFFFFF"/>
            <w:vAlign w:val="center"/>
            <w:hideMark/>
          </w:tcPr>
          <w:p w14:paraId="25ABE33C" w14:textId="77777777" w:rsidR="00D028ED" w:rsidRPr="00755E85" w:rsidRDefault="00D028ED" w:rsidP="00D028ED">
            <w:pPr>
              <w:tabs>
                <w:tab w:val="clear" w:pos="1134"/>
                <w:tab w:val="left" w:pos="1418"/>
              </w:tabs>
              <w:spacing w:before="60" w:after="60"/>
              <w:jc w:val="left"/>
              <w:rPr>
                <w:rFonts w:eastAsia="Times New Roman" w:cs="Calibri"/>
                <w:color w:val="000000"/>
                <w:lang w:val="es-ES" w:eastAsia="zh-CN"/>
              </w:rPr>
            </w:pPr>
            <w:r w:rsidRPr="00755E85">
              <w:rPr>
                <w:rFonts w:eastAsia="Times New Roman" w:cs="Calibri"/>
                <w:color w:val="000000"/>
                <w:lang w:val="es-ES"/>
              </w:rPr>
              <w:t>Aplicación del Plan de Acción de Hidrología</w:t>
            </w:r>
          </w:p>
        </w:tc>
        <w:tc>
          <w:tcPr>
            <w:tcW w:w="1306" w:type="pct"/>
            <w:tcBorders>
              <w:top w:val="nil"/>
              <w:left w:val="nil"/>
              <w:bottom w:val="single" w:sz="4" w:space="0" w:color="D9D9D9"/>
              <w:right w:val="nil"/>
            </w:tcBorders>
            <w:shd w:val="clear" w:color="000000" w:fill="FFFFFF"/>
            <w:vAlign w:val="center"/>
            <w:hideMark/>
          </w:tcPr>
          <w:p w14:paraId="4E3934B6" w14:textId="5B72C530" w:rsidR="00D028ED" w:rsidRPr="003C3066" w:rsidRDefault="00700C19" w:rsidP="00D028ED">
            <w:pPr>
              <w:tabs>
                <w:tab w:val="clear" w:pos="1134"/>
                <w:tab w:val="left" w:pos="1418"/>
              </w:tabs>
              <w:spacing w:before="60" w:after="60"/>
              <w:ind w:left="-192"/>
              <w:jc w:val="center"/>
              <w:rPr>
                <w:rFonts w:eastAsia="Times New Roman" w:cs="Calibri"/>
                <w:color w:val="000000"/>
                <w:lang w:eastAsia="zh-CN"/>
              </w:rPr>
            </w:pPr>
            <w:r>
              <w:rPr>
                <w:rFonts w:eastAsia="Times New Roman" w:cs="Calibri"/>
                <w:color w:val="000000"/>
              </w:rPr>
              <w:t>Objetivo a largo plazo 1</w:t>
            </w:r>
          </w:p>
        </w:tc>
        <w:tc>
          <w:tcPr>
            <w:tcW w:w="1047" w:type="pct"/>
            <w:tcBorders>
              <w:top w:val="nil"/>
              <w:left w:val="nil"/>
              <w:bottom w:val="single" w:sz="4" w:space="0" w:color="D9D9D9"/>
              <w:right w:val="nil"/>
            </w:tcBorders>
            <w:shd w:val="clear" w:color="000000" w:fill="FFFFFF"/>
            <w:vAlign w:val="center"/>
            <w:hideMark/>
          </w:tcPr>
          <w:p w14:paraId="03A801A3" w14:textId="154F116B" w:rsidR="00D028ED" w:rsidRPr="003C3066" w:rsidRDefault="00D028ED" w:rsidP="00D028ED">
            <w:pPr>
              <w:tabs>
                <w:tab w:val="clear" w:pos="1134"/>
                <w:tab w:val="left" w:pos="1418"/>
              </w:tabs>
              <w:spacing w:before="60" w:after="60"/>
              <w:ind w:right="-117" w:firstLineChars="100" w:firstLine="200"/>
              <w:jc w:val="left"/>
              <w:rPr>
                <w:rFonts w:eastAsia="Times New Roman" w:cs="Calibri"/>
                <w:color w:val="000000"/>
                <w:lang w:eastAsia="zh-CN"/>
              </w:rPr>
            </w:pPr>
            <w:r w:rsidRPr="003C3066">
              <w:rPr>
                <w:rFonts w:eastAsia="Times New Roman" w:cs="Calibri"/>
                <w:color w:val="000000"/>
              </w:rPr>
              <w:t>1,2 millones</w:t>
            </w:r>
            <w:r w:rsidR="000573F4">
              <w:rPr>
                <w:rFonts w:eastAsia="Times New Roman" w:cs="Calibri"/>
                <w:color w:val="000000"/>
              </w:rPr>
              <w:t xml:space="preserve"> </w:t>
            </w:r>
            <w:r w:rsidR="000573F4" w:rsidRPr="003C3066">
              <w:rPr>
                <w:rFonts w:eastAsia="Times New Roman" w:cs="Calibri"/>
                <w:color w:val="000000"/>
              </w:rPr>
              <w:t>CHF</w:t>
            </w:r>
          </w:p>
        </w:tc>
      </w:tr>
      <w:tr w:rsidR="00D028ED" w:rsidRPr="003C3066" w14:paraId="43F370B9" w14:textId="77777777" w:rsidTr="00E97E96">
        <w:trPr>
          <w:trHeight w:val="1125"/>
        </w:trPr>
        <w:tc>
          <w:tcPr>
            <w:tcW w:w="2647" w:type="pct"/>
            <w:tcBorders>
              <w:top w:val="nil"/>
              <w:left w:val="nil"/>
              <w:bottom w:val="single" w:sz="8" w:space="0" w:color="auto"/>
              <w:right w:val="nil"/>
            </w:tcBorders>
            <w:shd w:val="clear" w:color="000000" w:fill="FFFFFF"/>
            <w:vAlign w:val="center"/>
            <w:hideMark/>
          </w:tcPr>
          <w:p w14:paraId="21EFB6A1" w14:textId="64C04AAE" w:rsidR="00D028ED" w:rsidRPr="00755E85" w:rsidRDefault="00D028ED" w:rsidP="00D028ED">
            <w:pPr>
              <w:tabs>
                <w:tab w:val="clear" w:pos="1134"/>
                <w:tab w:val="left" w:pos="1418"/>
              </w:tabs>
              <w:spacing w:before="60" w:after="60"/>
              <w:jc w:val="left"/>
              <w:rPr>
                <w:rFonts w:eastAsia="Times New Roman" w:cs="Calibri"/>
                <w:color w:val="000000"/>
                <w:lang w:val="es-ES" w:eastAsia="zh-CN"/>
              </w:rPr>
            </w:pPr>
            <w:r w:rsidRPr="00755E85">
              <w:rPr>
                <w:rFonts w:eastAsia="Times New Roman" w:cs="Calibri"/>
                <w:color w:val="000000"/>
                <w:lang w:val="es-ES"/>
              </w:rPr>
              <w:t>Aplicación de los productos finales asociados a los cambios en la criosfera y los impactos en los recursos hídricos y el aumento del nivel del mar</w:t>
            </w:r>
          </w:p>
        </w:tc>
        <w:tc>
          <w:tcPr>
            <w:tcW w:w="1306" w:type="pct"/>
            <w:tcBorders>
              <w:top w:val="nil"/>
              <w:left w:val="nil"/>
              <w:bottom w:val="single" w:sz="8" w:space="0" w:color="auto"/>
              <w:right w:val="nil"/>
            </w:tcBorders>
            <w:shd w:val="clear" w:color="000000" w:fill="FFFFFF"/>
            <w:vAlign w:val="center"/>
            <w:hideMark/>
          </w:tcPr>
          <w:p w14:paraId="043E011A" w14:textId="5E7E1215" w:rsidR="00D028ED" w:rsidRPr="003C3066" w:rsidRDefault="00700C19" w:rsidP="00D028ED">
            <w:pPr>
              <w:tabs>
                <w:tab w:val="clear" w:pos="1134"/>
                <w:tab w:val="left" w:pos="1418"/>
              </w:tabs>
              <w:spacing w:before="60" w:after="60"/>
              <w:ind w:left="-192"/>
              <w:jc w:val="center"/>
              <w:rPr>
                <w:rFonts w:eastAsia="Times New Roman" w:cs="Calibri"/>
                <w:color w:val="000000"/>
                <w:lang w:eastAsia="zh-CN"/>
              </w:rPr>
            </w:pPr>
            <w:r>
              <w:rPr>
                <w:rFonts w:eastAsia="Times New Roman" w:cs="Calibri"/>
                <w:color w:val="000000"/>
              </w:rPr>
              <w:t>Objetivo a largo plazo 1</w:t>
            </w:r>
          </w:p>
        </w:tc>
        <w:tc>
          <w:tcPr>
            <w:tcW w:w="1047" w:type="pct"/>
            <w:tcBorders>
              <w:top w:val="nil"/>
              <w:left w:val="nil"/>
              <w:bottom w:val="single" w:sz="8" w:space="0" w:color="auto"/>
              <w:right w:val="nil"/>
            </w:tcBorders>
            <w:shd w:val="clear" w:color="000000" w:fill="FFFFFF"/>
            <w:vAlign w:val="center"/>
            <w:hideMark/>
          </w:tcPr>
          <w:p w14:paraId="59BD0847" w14:textId="39422346" w:rsidR="00D028ED" w:rsidRPr="003C3066" w:rsidRDefault="00D028ED" w:rsidP="00D028ED">
            <w:pPr>
              <w:tabs>
                <w:tab w:val="clear" w:pos="1134"/>
                <w:tab w:val="left" w:pos="1418"/>
              </w:tabs>
              <w:spacing w:before="60" w:after="60"/>
              <w:ind w:right="-117" w:firstLineChars="100" w:firstLine="200"/>
              <w:jc w:val="left"/>
              <w:rPr>
                <w:rFonts w:eastAsia="Times New Roman" w:cs="Calibri"/>
                <w:color w:val="000000"/>
                <w:lang w:eastAsia="zh-CN"/>
              </w:rPr>
            </w:pPr>
            <w:r w:rsidRPr="003C3066">
              <w:rPr>
                <w:rFonts w:eastAsia="Times New Roman" w:cs="Calibri"/>
                <w:color w:val="000000"/>
              </w:rPr>
              <w:t>1</w:t>
            </w:r>
            <w:r w:rsidR="00481D5B">
              <w:rPr>
                <w:rFonts w:eastAsia="Times New Roman" w:cs="Calibri"/>
                <w:color w:val="000000"/>
              </w:rPr>
              <w:t xml:space="preserve"> millón</w:t>
            </w:r>
            <w:r w:rsidR="000573F4">
              <w:rPr>
                <w:rFonts w:eastAsia="Times New Roman" w:cs="Calibri"/>
                <w:color w:val="000000"/>
              </w:rPr>
              <w:t xml:space="preserve"> </w:t>
            </w:r>
            <w:r w:rsidR="000573F4" w:rsidRPr="003C3066">
              <w:rPr>
                <w:rFonts w:eastAsia="Times New Roman" w:cs="Calibri"/>
                <w:color w:val="000000"/>
              </w:rPr>
              <w:t>CHF</w:t>
            </w:r>
          </w:p>
        </w:tc>
      </w:tr>
    </w:tbl>
    <w:p w14:paraId="6D383661" w14:textId="10D6579F"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En la propuesta del Secretario General también se prevén recursos adicionales para dos actividades habilitadoras fundamentales necesarias para mejorar y asegurar aún más el entorno general en apoyo del despliegue del programa, tal como se expone en el Plan de Funcionamiento. Estas iniciativas guardan relación con 1) el sistema de planificación de los recursos institucionales (ERP), que es fundamental para apoyar los procesos financieros, humanos, de planificación y de gestión de proyectos, y 2) la aplicación de la Estrategia de tecnología de la información. A </w:t>
      </w:r>
      <w:r w:rsidR="00A92AB1" w:rsidRPr="00755E85">
        <w:rPr>
          <w:rFonts w:eastAsiaTheme="minorHAnsi" w:cstheme="minorBidi"/>
          <w:lang w:val="es-ES"/>
        </w:rPr>
        <w:t>continuación,</w:t>
      </w:r>
      <w:r w:rsidRPr="00755E85">
        <w:rPr>
          <w:rFonts w:eastAsiaTheme="minorHAnsi" w:cstheme="minorBidi"/>
          <w:lang w:val="es-ES"/>
        </w:rPr>
        <w:t xml:space="preserve"> se examinan en detalle las dos iniciativas. Si bien no se solicitan recursos adicionales del presupuesto ordinario en el marco de un escenario de gastos máximo, las inversiones críticas en el edificio de la sede de la OMM serán prioritarias durante el período financiero 2024-2027 y, como tal, también se presentan a continuación.</w:t>
      </w:r>
    </w:p>
    <w:p w14:paraId="208B2AE4" w14:textId="7D702163" w:rsidR="00D028ED" w:rsidRPr="00755E85" w:rsidRDefault="00D028ED" w:rsidP="00D028ED">
      <w:pPr>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 xml:space="preserve">Inversión en un sistema </w:t>
      </w:r>
      <w:r w:rsidR="00A31A3A">
        <w:rPr>
          <w:rFonts w:eastAsiaTheme="minorEastAsia" w:cstheme="minorBidi"/>
          <w:i/>
          <w:szCs w:val="22"/>
          <w:lang w:val="es-ES"/>
        </w:rPr>
        <w:t>de planificación de los recursos institucionales (</w:t>
      </w:r>
      <w:r w:rsidRPr="00755E85">
        <w:rPr>
          <w:rFonts w:eastAsiaTheme="minorEastAsia" w:cstheme="minorBidi"/>
          <w:i/>
          <w:szCs w:val="22"/>
          <w:lang w:val="es-ES"/>
        </w:rPr>
        <w:t>ERP</w:t>
      </w:r>
      <w:r w:rsidR="00A31A3A">
        <w:rPr>
          <w:rFonts w:eastAsiaTheme="minorEastAsia" w:cstheme="minorBidi"/>
          <w:i/>
          <w:szCs w:val="22"/>
          <w:lang w:val="es-ES"/>
        </w:rPr>
        <w:t>)</w:t>
      </w:r>
      <w:r w:rsidRPr="00755E85">
        <w:rPr>
          <w:rFonts w:eastAsiaTheme="minorEastAsia" w:cstheme="minorBidi"/>
          <w:i/>
          <w:szCs w:val="22"/>
          <w:lang w:val="es-ES"/>
        </w:rPr>
        <w:t xml:space="preserve"> moderno y eficiente</w:t>
      </w:r>
    </w:p>
    <w:p w14:paraId="15F925DA" w14:textId="6579C10F"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Un sistema ERP es el eje central de los procesos administrativos y financieros de cualquier organización. El actual ERP está alcanzando rápidamente el fin de vida y se basa en tecnología y procesos obsoletos, limitando así la capacidad de la OMM para adoptar una nueva automatización y crecer con la naturaleza y las demandas cambiantes de la OMM. Al invertir en un nuevo </w:t>
      </w:r>
      <w:r w:rsidR="00B32CBF">
        <w:rPr>
          <w:rFonts w:eastAsiaTheme="minorEastAsia" w:cstheme="minorBidi"/>
          <w:szCs w:val="22"/>
          <w:lang w:val="es-ES"/>
        </w:rPr>
        <w:t>ERP</w:t>
      </w:r>
      <w:r w:rsidRPr="00755E85">
        <w:rPr>
          <w:rFonts w:eastAsiaTheme="minorEastAsia" w:cstheme="minorBidi"/>
          <w:szCs w:val="22"/>
          <w:lang w:val="es-ES"/>
        </w:rPr>
        <w:t xml:space="preserve"> moderno, las necesidades empresariales pueden satisfacerse mucho más eficiente y eficazmente al tiempo que mejoran los procesos institucionales internos y las capacidades de presentación de informes, adoptando el uso de tecnologías modernas y aumentando las sinergias y la coherencia con el sistema de las Naciones Unidas. El proceso para determinar el nuevo ERP comenzó en 2021 y se espera que a principios de 2023 se determine definitivamente la mejor solución para la OMM. Los trabajos preparatorios para la ejecución comenzaron en 2022 y está previsto que la fase de ejecución comience durante 2023.</w:t>
      </w:r>
    </w:p>
    <w:p w14:paraId="122DD871" w14:textId="04D48672"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Actualmente se está determinando el requisito total de financiación del sistema ERP y, si bien el requisito total final dependerá de la solución final acordada, se espera que el costo total de la ejecución del proyecto sea de, por lo menos, 6 millones de francos. Se prevé que se puedan financiar aproximadamente 3 millones de francos suizos durante el bienio 2022-2023 utilizando los fondos no utilizado</w:t>
      </w:r>
      <w:r w:rsidR="00E42282">
        <w:rPr>
          <w:rFonts w:eastAsiaTheme="minorEastAsia" w:cstheme="minorBidi"/>
          <w:szCs w:val="22"/>
          <w:lang w:val="es-ES"/>
        </w:rPr>
        <w:t>s</w:t>
      </w:r>
      <w:r w:rsidRPr="00755E85">
        <w:rPr>
          <w:rFonts w:eastAsiaTheme="minorEastAsia" w:cstheme="minorBidi"/>
          <w:szCs w:val="22"/>
          <w:lang w:val="es-ES"/>
        </w:rPr>
        <w:t xml:space="preserve"> del bienio 2020-2021, aprobados anteriormente por el Consejo Ejecutivo en su 73ª reunión, y que se puedan financiar hasta 1 millones de francos de la Cuenta Especial para gastos de apoyo a los programas durante 2024-2027. Sin embargo, esto deja al menos 2 millones de francos suizos no financiados para esta iniciativa crítica.</w:t>
      </w:r>
    </w:p>
    <w:p w14:paraId="03D51C07"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Para garantizar la disponibilidad de fondos, la propuesta del Secretario General contiene una solicitud de financiación de 2,0 millones de francos suizos para apoyar la ejecución del proyecto ERP durante el período 2024-2027. Debido a la priorización de las actividades programáticas, no se propone financiación adicional para el nuevo sistema ERP en el escenario de crecimiento nominal cero. El enfoque de crecimiento nominal </w:t>
      </w:r>
      <w:r w:rsidRPr="00755E85">
        <w:rPr>
          <w:rFonts w:eastAsiaTheme="minorEastAsia" w:cstheme="minorBidi"/>
          <w:szCs w:val="22"/>
          <w:lang w:val="es-ES"/>
        </w:rPr>
        <w:lastRenderedPageBreak/>
        <w:t>limita la eficacia de la necesidad de apoyo para la ejecución de los programas y retrasaría la mejora del sistema ERP hasta que se disponga de fondos adicionales.</w:t>
      </w:r>
    </w:p>
    <w:p w14:paraId="21A0FC21"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Aplicación de la Estrategia de tecnología de la información para mejorar la seguridad, la eficiencia y la eficacia del entorno de la tecnología de la información</w:t>
      </w:r>
    </w:p>
    <w:p w14:paraId="37F551AF" w14:textId="5406BA9F"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La visión de la OMM en materia de tecnología de la información incluye la aceleración de la transformación digital en la OMM y la asociación con los Miembros para garantizar la prestación de servicios tecnológicos innovadores en toda la organización</w:t>
      </w:r>
      <w:r w:rsidR="00111322">
        <w:rPr>
          <w:rFonts w:eastAsiaTheme="minorEastAsia" w:cstheme="minorBidi"/>
          <w:szCs w:val="22"/>
          <w:lang w:val="es-ES"/>
        </w:rPr>
        <w:t xml:space="preserve"> “</w:t>
      </w:r>
      <w:r w:rsidRPr="00755E85">
        <w:rPr>
          <w:rFonts w:eastAsiaTheme="minorEastAsia" w:cstheme="minorBidi"/>
          <w:szCs w:val="22"/>
          <w:lang w:val="es-ES"/>
        </w:rPr>
        <w:t>para facilitar procesos, adopción de decisiones y aplicación eficaces</w:t>
      </w:r>
      <w:r w:rsidR="00111322">
        <w:rPr>
          <w:rFonts w:eastAsiaTheme="minorEastAsia" w:cstheme="minorBidi"/>
          <w:szCs w:val="22"/>
          <w:lang w:val="es-ES"/>
        </w:rPr>
        <w:t>”</w:t>
      </w:r>
      <w:r w:rsidRPr="00755E85">
        <w:rPr>
          <w:rFonts w:eastAsiaTheme="minorEastAsia" w:cstheme="minorBidi"/>
          <w:szCs w:val="22"/>
          <w:lang w:val="es-ES"/>
        </w:rPr>
        <w:t>.</w:t>
      </w:r>
      <w:r w:rsidR="00111322">
        <w:rPr>
          <w:rFonts w:eastAsiaTheme="minorEastAsia" w:cstheme="minorBidi"/>
          <w:szCs w:val="22"/>
          <w:lang w:val="es-ES"/>
        </w:rPr>
        <w:t xml:space="preserve"> </w:t>
      </w:r>
      <w:r w:rsidRPr="00755E85">
        <w:rPr>
          <w:rFonts w:eastAsiaTheme="minorEastAsia" w:cstheme="minorBidi"/>
          <w:szCs w:val="22"/>
          <w:lang w:val="es-ES"/>
        </w:rPr>
        <w:t xml:space="preserve">A fin de lograr la visión, actualmente se está elaborando una </w:t>
      </w:r>
      <w:r w:rsidR="00C7744C">
        <w:rPr>
          <w:rFonts w:eastAsiaTheme="minorEastAsia" w:cstheme="minorBidi"/>
          <w:szCs w:val="22"/>
          <w:lang w:val="es-ES"/>
        </w:rPr>
        <w:t>e</w:t>
      </w:r>
      <w:r w:rsidRPr="00755E85">
        <w:rPr>
          <w:rFonts w:eastAsiaTheme="minorEastAsia" w:cstheme="minorBidi"/>
          <w:szCs w:val="22"/>
          <w:lang w:val="es-ES"/>
        </w:rPr>
        <w:t xml:space="preserve">strategia de tecnología de la información para acelerar el proceso de transformación digital y para racionalizar y optimizar las soluciones corporativas de la OMM, proporcionando a los usuarios formas de trabajo más eficientes y eficaces. Se estima que la financiación total necesaria para aplicar plenamente la </w:t>
      </w:r>
      <w:r w:rsidR="00D71B40">
        <w:rPr>
          <w:rFonts w:eastAsiaTheme="minorEastAsia" w:cstheme="minorBidi"/>
          <w:szCs w:val="22"/>
          <w:lang w:val="es-ES"/>
        </w:rPr>
        <w:t>E</w:t>
      </w:r>
      <w:r w:rsidRPr="00755E85">
        <w:rPr>
          <w:rFonts w:eastAsiaTheme="minorEastAsia" w:cstheme="minorBidi"/>
          <w:szCs w:val="22"/>
          <w:lang w:val="es-ES"/>
        </w:rPr>
        <w:t xml:space="preserve">strategia de </w:t>
      </w:r>
      <w:r w:rsidR="006408A4">
        <w:rPr>
          <w:rFonts w:eastAsiaTheme="minorEastAsia" w:cstheme="minorBidi"/>
          <w:szCs w:val="22"/>
          <w:lang w:val="es-ES"/>
        </w:rPr>
        <w:t>T</w:t>
      </w:r>
      <w:r w:rsidRPr="00755E85">
        <w:rPr>
          <w:rFonts w:eastAsiaTheme="minorEastAsia" w:cstheme="minorBidi"/>
          <w:szCs w:val="22"/>
          <w:lang w:val="es-ES"/>
        </w:rPr>
        <w:t xml:space="preserve">ecnología de la </w:t>
      </w:r>
      <w:r w:rsidR="006408A4">
        <w:rPr>
          <w:rFonts w:eastAsiaTheme="minorEastAsia" w:cstheme="minorBidi"/>
          <w:szCs w:val="22"/>
          <w:lang w:val="es-ES"/>
        </w:rPr>
        <w:t>I</w:t>
      </w:r>
      <w:r w:rsidRPr="00755E85">
        <w:rPr>
          <w:rFonts w:eastAsiaTheme="minorEastAsia" w:cstheme="minorBidi"/>
          <w:szCs w:val="22"/>
          <w:lang w:val="es-ES"/>
        </w:rPr>
        <w:t>nformación se ha estimado en aproximadamente 3 millones de francos suizos durante el período financiero (2024-2027), lo que incluye mejoras en las aplicaciones empresariales críticas, un mayor apoyo a las oficinas regionales, el refuerzo de los controles de ciberseguridad y la reorganización de la División de Tecnología de la Información para apoyar y gestionar eficazmente estas actividades.</w:t>
      </w:r>
    </w:p>
    <w:p w14:paraId="594B7C4A" w14:textId="75AD92D4"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No obstante, se reconoce que un aumento de 3 millones de francos suizos en el presupuesto de </w:t>
      </w:r>
      <w:r w:rsidR="00E821A7">
        <w:rPr>
          <w:rFonts w:eastAsiaTheme="minorEastAsia" w:cstheme="minorBidi"/>
          <w:szCs w:val="22"/>
          <w:lang w:val="es-ES"/>
        </w:rPr>
        <w:t>te</w:t>
      </w:r>
      <w:r w:rsidR="006E7483">
        <w:rPr>
          <w:rFonts w:eastAsiaTheme="minorEastAsia" w:cstheme="minorBidi"/>
          <w:szCs w:val="22"/>
          <w:lang w:val="es-ES"/>
        </w:rPr>
        <w:t>cnología de la información</w:t>
      </w:r>
      <w:r w:rsidRPr="00755E85">
        <w:rPr>
          <w:rFonts w:eastAsiaTheme="minorEastAsia" w:cstheme="minorBidi"/>
          <w:szCs w:val="22"/>
          <w:lang w:val="es-ES"/>
        </w:rPr>
        <w:t xml:space="preserve"> no puede ser absorbido durante un único </w:t>
      </w:r>
      <w:r w:rsidR="00625D5C">
        <w:rPr>
          <w:rFonts w:eastAsiaTheme="minorEastAsia" w:cstheme="minorBidi"/>
          <w:szCs w:val="22"/>
          <w:lang w:val="es-ES"/>
        </w:rPr>
        <w:t>ejercicio económico</w:t>
      </w:r>
      <w:r w:rsidRPr="00755E85">
        <w:rPr>
          <w:rFonts w:eastAsiaTheme="minorEastAsia" w:cstheme="minorBidi"/>
          <w:szCs w:val="22"/>
          <w:lang w:val="es-ES"/>
        </w:rPr>
        <w:t xml:space="preserve">. Por consiguiente, la propuesta del Secretario General incluye una solicitud de financiación del 50 % de esa financiación, de 1,5 millones de francos suizos, durante el </w:t>
      </w:r>
      <w:r w:rsidR="009A29F2">
        <w:rPr>
          <w:rFonts w:eastAsiaTheme="minorEastAsia" w:cstheme="minorBidi"/>
          <w:szCs w:val="22"/>
          <w:lang w:val="es-ES"/>
        </w:rPr>
        <w:t>ejercicio económico</w:t>
      </w:r>
      <w:r w:rsidRPr="00755E85">
        <w:rPr>
          <w:rFonts w:eastAsiaTheme="minorEastAsia" w:cstheme="minorBidi"/>
          <w:szCs w:val="22"/>
          <w:lang w:val="es-ES"/>
        </w:rPr>
        <w:t xml:space="preserve"> 2024-2027. Con el nivel de financiación propuesto </w:t>
      </w:r>
      <w:r w:rsidR="00692F6F">
        <w:rPr>
          <w:rFonts w:eastAsiaTheme="minorEastAsia" w:cstheme="minorBidi"/>
          <w:szCs w:val="22"/>
          <w:lang w:val="es-ES"/>
        </w:rPr>
        <w:t>por el</w:t>
      </w:r>
      <w:r w:rsidRPr="00755E85">
        <w:rPr>
          <w:rFonts w:eastAsiaTheme="minorEastAsia" w:cstheme="minorBidi"/>
          <w:szCs w:val="22"/>
          <w:lang w:val="es-ES"/>
        </w:rPr>
        <w:t xml:space="preserve"> Secretario General, se proporcionará apoyo adicional y mejora a soluciones empresariales críticas y se aumentará la resiliencia informática de la organización; Sin embargo, otras iniciativas no podrían llevarse a cabo plenamente, como mejoras en apoyo de las oficinas regionales, la consolidación plena del actual panorama fragmentado de la ti. No se incluye ninguna financiación adicional para la </w:t>
      </w:r>
      <w:r w:rsidR="00D71B40">
        <w:rPr>
          <w:rFonts w:eastAsiaTheme="minorEastAsia" w:cstheme="minorBidi"/>
          <w:szCs w:val="22"/>
          <w:lang w:val="es-ES"/>
        </w:rPr>
        <w:t>E</w:t>
      </w:r>
      <w:r w:rsidRPr="00755E85">
        <w:rPr>
          <w:rFonts w:eastAsiaTheme="minorEastAsia" w:cstheme="minorBidi"/>
          <w:szCs w:val="22"/>
          <w:lang w:val="es-ES"/>
        </w:rPr>
        <w:t xml:space="preserve">strategia de </w:t>
      </w:r>
      <w:r w:rsidR="00D71B40">
        <w:rPr>
          <w:rFonts w:eastAsiaTheme="minorEastAsia" w:cstheme="minorBidi"/>
          <w:szCs w:val="22"/>
          <w:lang w:val="es-ES"/>
        </w:rPr>
        <w:t>T</w:t>
      </w:r>
      <w:r w:rsidR="00191D78">
        <w:rPr>
          <w:rFonts w:eastAsiaTheme="minorEastAsia" w:cstheme="minorBidi"/>
          <w:szCs w:val="22"/>
          <w:lang w:val="es-ES"/>
        </w:rPr>
        <w:t xml:space="preserve">ecnologías de la </w:t>
      </w:r>
      <w:r w:rsidR="00D71B40">
        <w:rPr>
          <w:rFonts w:eastAsiaTheme="minorEastAsia" w:cstheme="minorBidi"/>
          <w:szCs w:val="22"/>
          <w:lang w:val="es-ES"/>
        </w:rPr>
        <w:t>I</w:t>
      </w:r>
      <w:r w:rsidR="00191D78">
        <w:rPr>
          <w:rFonts w:eastAsiaTheme="minorEastAsia" w:cstheme="minorBidi"/>
          <w:szCs w:val="22"/>
          <w:lang w:val="es-ES"/>
        </w:rPr>
        <w:t>nformación</w:t>
      </w:r>
      <w:r w:rsidRPr="00755E85">
        <w:rPr>
          <w:rFonts w:eastAsiaTheme="minorEastAsia" w:cstheme="minorBidi"/>
          <w:szCs w:val="22"/>
          <w:lang w:val="es-ES"/>
        </w:rPr>
        <w:t xml:space="preserve"> en el escenario de crecimiento nominal cero, dado que se ha priorizado la ejecución programática. La adopción de un presupuesto de crecimiento nominal evitará la implantación de la nueva Estrategia de </w:t>
      </w:r>
      <w:r w:rsidR="00191D78">
        <w:rPr>
          <w:rFonts w:eastAsiaTheme="minorEastAsia" w:cstheme="minorBidi"/>
          <w:szCs w:val="22"/>
          <w:lang w:val="es-ES"/>
        </w:rPr>
        <w:t>Tecnologías de la Traducción</w:t>
      </w:r>
      <w:r w:rsidR="009709C0">
        <w:rPr>
          <w:rFonts w:eastAsiaTheme="minorEastAsia" w:cstheme="minorBidi"/>
          <w:szCs w:val="22"/>
          <w:lang w:val="es-ES"/>
        </w:rPr>
        <w:t>,</w:t>
      </w:r>
      <w:r w:rsidRPr="00755E85">
        <w:rPr>
          <w:rFonts w:eastAsiaTheme="minorEastAsia" w:cstheme="minorBidi"/>
          <w:szCs w:val="22"/>
          <w:lang w:val="es-ES"/>
        </w:rPr>
        <w:t xml:space="preserve"> pospon</w:t>
      </w:r>
      <w:r w:rsidR="009709C0">
        <w:rPr>
          <w:rFonts w:eastAsiaTheme="minorEastAsia" w:cstheme="minorBidi"/>
          <w:szCs w:val="22"/>
          <w:lang w:val="es-ES"/>
        </w:rPr>
        <w:t>iendo</w:t>
      </w:r>
      <w:r w:rsidRPr="00755E85">
        <w:rPr>
          <w:rFonts w:eastAsiaTheme="minorEastAsia" w:cstheme="minorBidi"/>
          <w:szCs w:val="22"/>
          <w:lang w:val="es-ES"/>
        </w:rPr>
        <w:t xml:space="preserve"> la introducción de eficiencias, la calidad de los servicios de </w:t>
      </w:r>
      <w:r w:rsidR="00191D78">
        <w:rPr>
          <w:rFonts w:eastAsiaTheme="minorEastAsia" w:cstheme="minorBidi"/>
          <w:szCs w:val="22"/>
          <w:lang w:val="es-ES"/>
        </w:rPr>
        <w:t>tecnologías de la información</w:t>
      </w:r>
      <w:r w:rsidRPr="00755E85">
        <w:rPr>
          <w:rFonts w:eastAsiaTheme="minorEastAsia" w:cstheme="minorBidi"/>
          <w:szCs w:val="22"/>
          <w:lang w:val="es-ES"/>
        </w:rPr>
        <w:t xml:space="preserve"> y el posible riesgo de interrupción de las empresas y la pérdida de datos debido a problemas de ciberseguridad.</w:t>
      </w:r>
    </w:p>
    <w:p w14:paraId="3FEC1B4B" w14:textId="77777777" w:rsidR="00D028ED" w:rsidRPr="00755E85" w:rsidRDefault="00D028ED" w:rsidP="00C65C07">
      <w:pPr>
        <w:keepNext/>
        <w:keepLines/>
        <w:tabs>
          <w:tab w:val="clear" w:pos="1134"/>
          <w:tab w:val="left" w:pos="1418"/>
        </w:tabs>
        <w:spacing w:before="240" w:after="240"/>
        <w:ind w:left="567"/>
        <w:jc w:val="left"/>
        <w:textAlignment w:val="baseline"/>
        <w:rPr>
          <w:rFonts w:eastAsiaTheme="minorEastAsia" w:cstheme="minorBidi"/>
          <w:i/>
          <w:szCs w:val="22"/>
          <w:lang w:val="es-ES" w:eastAsia="zh-CN"/>
        </w:rPr>
      </w:pPr>
      <w:r w:rsidRPr="00755E85">
        <w:rPr>
          <w:rFonts w:eastAsiaTheme="minorEastAsia" w:cstheme="minorBidi"/>
          <w:i/>
          <w:szCs w:val="22"/>
          <w:lang w:val="es-ES"/>
        </w:rPr>
        <w:t>Inversiones en el edificio de la sede de la OMM</w:t>
      </w:r>
    </w:p>
    <w:p w14:paraId="5FDFE21D" w14:textId="3E197DAA" w:rsidR="00D028ED" w:rsidRPr="00755E85" w:rsidRDefault="00D028ED" w:rsidP="00C65C07">
      <w:pPr>
        <w:keepNext/>
        <w:keepLines/>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Se requiere una inversión urgente en el edificio de la sede de la OMM (el edificio) para abordar cuestiones como </w:t>
      </w:r>
      <w:r w:rsidR="00967EFE">
        <w:rPr>
          <w:rFonts w:eastAsiaTheme="minorEastAsia" w:cstheme="minorBidi"/>
          <w:szCs w:val="22"/>
          <w:lang w:val="es-ES"/>
        </w:rPr>
        <w:t>que la</w:t>
      </w:r>
      <w:r w:rsidR="00BE5FB5">
        <w:rPr>
          <w:rFonts w:eastAsiaTheme="minorEastAsia" w:cstheme="minorBidi"/>
          <w:szCs w:val="22"/>
          <w:lang w:val="es-ES"/>
        </w:rPr>
        <w:t xml:space="preserve"> </w:t>
      </w:r>
      <w:r w:rsidRPr="00755E85">
        <w:rPr>
          <w:rFonts w:eastAsiaTheme="minorEastAsia" w:cstheme="minorBidi"/>
          <w:szCs w:val="22"/>
          <w:lang w:val="es-ES"/>
        </w:rPr>
        <w:t>OMM</w:t>
      </w:r>
      <w:r w:rsidR="0024388B">
        <w:rPr>
          <w:rFonts w:eastAsiaTheme="minorEastAsia" w:cstheme="minorBidi"/>
          <w:szCs w:val="22"/>
          <w:lang w:val="es-ES"/>
        </w:rPr>
        <w:t xml:space="preserve"> sea más ecológica</w:t>
      </w:r>
      <w:r w:rsidRPr="00755E85">
        <w:rPr>
          <w:rFonts w:eastAsiaTheme="minorEastAsia" w:cstheme="minorBidi"/>
          <w:szCs w:val="22"/>
          <w:lang w:val="es-ES"/>
        </w:rPr>
        <w:t xml:space="preserve">, garantizar el deber de diligencia con toda la comunidad de la OMM, proteger y preservar el edificio y garantizar que el edificio sea adecuado para los próximos 20 años. Estas inversiones permitirán a la OMM mejorar el uso, la seguridad, la flexibilidad y los efectos medioambientales del edificio en el futuro. Conforme a lo decidido en </w:t>
      </w:r>
      <w:hyperlink r:id="rId19" w:anchor="page=545" w:history="1">
        <w:r w:rsidRPr="00755E85">
          <w:rPr>
            <w:rStyle w:val="Hyperlink"/>
            <w:rFonts w:eastAsiaTheme="minorEastAsia" w:cstheme="minorBidi"/>
            <w:szCs w:val="22"/>
            <w:lang w:val="es-ES"/>
          </w:rPr>
          <w:t xml:space="preserve"> la Decisión 16 (EC-73))</w:t>
        </w:r>
      </w:hyperlink>
      <w:r w:rsidR="00757EC7" w:rsidRPr="00755E85">
        <w:rPr>
          <w:rStyle w:val="Hyperlink"/>
          <w:rFonts w:eastAsiaTheme="minorEastAsia" w:cstheme="minorBidi"/>
          <w:szCs w:val="22"/>
          <w:lang w:val="es-ES"/>
        </w:rPr>
        <w:t xml:space="preserve"> </w:t>
      </w:r>
      <w:r w:rsidR="00757EC7" w:rsidRPr="00755E85">
        <w:rPr>
          <w:rStyle w:val="Hyperlink"/>
          <w:rFonts w:eastAsiaTheme="minorEastAsia" w:cstheme="minorBidi"/>
          <w:color w:val="auto"/>
          <w:szCs w:val="22"/>
          <w:lang w:val="es-ES"/>
        </w:rPr>
        <w:t xml:space="preserve"> — Mantenimiento del edificio de la sede de la OMM, la Organización </w:t>
      </w:r>
      <w:r w:rsidRPr="00755E85">
        <w:rPr>
          <w:rFonts w:eastAsiaTheme="minorEastAsia" w:cstheme="minorBidi"/>
          <w:szCs w:val="22"/>
          <w:lang w:val="es-ES"/>
        </w:rPr>
        <w:t>asignó recursos a los fondos no utilizado</w:t>
      </w:r>
      <w:r w:rsidR="00767A3D">
        <w:rPr>
          <w:rFonts w:eastAsiaTheme="minorEastAsia" w:cstheme="minorBidi"/>
          <w:szCs w:val="22"/>
          <w:lang w:val="es-ES"/>
        </w:rPr>
        <w:t>s</w:t>
      </w:r>
      <w:r w:rsidRPr="00755E85">
        <w:rPr>
          <w:rFonts w:eastAsiaTheme="minorEastAsia" w:cstheme="minorBidi"/>
          <w:szCs w:val="22"/>
          <w:lang w:val="es-ES"/>
        </w:rPr>
        <w:t xml:space="preserve"> del bienio 2020-2021 y la Cuenta Especial para las Obras Extraordinarias para el Edificio de la Sede de la OMM a fin de financiar esos proyectos relacionados con el edificio durante 2021 y durante el bienio 2022-2023.</w:t>
      </w:r>
    </w:p>
    <w:p w14:paraId="2AF25285" w14:textId="77777777" w:rsidR="00D028ED" w:rsidRPr="00755E85" w:rsidRDefault="00D028ED" w:rsidP="00D028ED">
      <w:pPr>
        <w:tabs>
          <w:tab w:val="clear" w:pos="1134"/>
          <w:tab w:val="left" w:pos="1418"/>
        </w:tabs>
        <w:spacing w:before="240" w:after="240"/>
        <w:ind w:left="567"/>
        <w:jc w:val="left"/>
        <w:textAlignment w:val="baseline"/>
        <w:rPr>
          <w:rFonts w:eastAsiaTheme="minorEastAsia" w:cstheme="minorBidi"/>
          <w:szCs w:val="22"/>
          <w:lang w:val="es-ES" w:eastAsia="zh-CN"/>
        </w:rPr>
      </w:pPr>
      <w:r w:rsidRPr="00755E85">
        <w:rPr>
          <w:rFonts w:eastAsiaTheme="minorEastAsia" w:cstheme="minorBidi"/>
          <w:szCs w:val="22"/>
          <w:lang w:val="es-ES"/>
        </w:rPr>
        <w:t xml:space="preserve">Habida cuenta de su alcance, varios de los principales proyectos de ingeniería iniciados en el período financiero 2020-2023 se mantendrán durante el período financiero 2024-2027. Además, para garantizar que el edificio siga siendo adecuado a los fines previstos y mantenga su idoneidad a medio y largo plazo, seguirá siendo necesaria la inversión continua en infraestructura de edificios. Se espera que, durante el período financiero 2024-2027, la financiación para estas inversiones pueda satisfacerse plenamente con </w:t>
      </w:r>
      <w:r w:rsidRPr="00755E85">
        <w:rPr>
          <w:rFonts w:eastAsiaTheme="minorEastAsia" w:cstheme="minorBidi"/>
          <w:szCs w:val="22"/>
          <w:lang w:val="es-ES"/>
        </w:rPr>
        <w:lastRenderedPageBreak/>
        <w:t>cargo al saldo de la Cuenta Especial de Obras Extraordinarias para el Edificio, que se financiará con los ingresos de alquiler de los inquilinos del edificio. Por consiguiente, no se espera que se necesiten fondos adicionales de las evaluaciones del presupuesto ordinario y no se incluyan propuestas de financiación adicional en la propuesta del Secretario General o en el escenario de crecimiento nominal cero.</w:t>
      </w:r>
    </w:p>
    <w:p w14:paraId="2D5485F2"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eastAsia="zh-CN"/>
        </w:rPr>
      </w:pPr>
      <w:bookmarkStart w:id="5" w:name="_Toc121390457"/>
      <w:r w:rsidRPr="003C3066">
        <w:rPr>
          <w:rFonts w:eastAsiaTheme="majorEastAsia" w:cstheme="majorBidi"/>
          <w:b/>
        </w:rPr>
        <w:t>Escenario de crecimiento nominal cero</w:t>
      </w:r>
      <w:bookmarkEnd w:id="5"/>
    </w:p>
    <w:p w14:paraId="1EA34F49" w14:textId="491ADC23"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El escenario de crecimiento nominal cero también se basa en el Plan Estratégico y el Plan de Funcionamiento y proporciona la consecución de productos y prioridades fundamentales identificados por los Miembros, tanto los productos en curso que son fundamentales para la consecución del mandato de la OMM</w:t>
      </w:r>
      <w:r w:rsidR="00E3695B">
        <w:rPr>
          <w:rFonts w:eastAsiaTheme="minorHAnsi" w:cstheme="minorBidi"/>
          <w:lang w:val="es-ES"/>
        </w:rPr>
        <w:t>,</w:t>
      </w:r>
      <w:r w:rsidRPr="00755E85">
        <w:rPr>
          <w:rFonts w:eastAsiaTheme="minorHAnsi" w:cstheme="minorBidi"/>
          <w:lang w:val="es-ES"/>
        </w:rPr>
        <w:t xml:space="preserve"> como una financiación priorizada de productos e iniciativas recientemente identificados o ampliados hasta el nivel que puede figurar en el escenario limitado de crecimiento nominal cero. En el escenario de crecimiento nominal cero se reconocen las posibles limitaciones de la financiación disponibles para algunos Miembros y, por lo tanto, se presenta una meta reducida con el objetivo de maximizar la consecución de los resultados y los productos en la medida de lo posible mientras permanece dentro de un sobre de crecimiento nominal cero. En el Plan de Funcionamiento de cada esfera prioritaria</w:t>
      </w:r>
      <w:r w:rsidR="00AD454F">
        <w:rPr>
          <w:rFonts w:eastAsiaTheme="minorHAnsi" w:cstheme="minorBidi"/>
          <w:lang w:val="es-ES"/>
        </w:rPr>
        <w:t xml:space="preserve">, </w:t>
      </w:r>
      <w:r w:rsidRPr="00755E85">
        <w:rPr>
          <w:rFonts w:eastAsiaTheme="minorHAnsi" w:cstheme="minorBidi"/>
          <w:lang w:val="es-ES"/>
        </w:rPr>
        <w:t>se describe detalladamente el efecto de la reducción de los fondos de la propuesta del Secretario General sobre el nivel disponible en el marco del escenario de crecimiento nominal cero.</w:t>
      </w:r>
    </w:p>
    <w:p w14:paraId="7A256A19" w14:textId="58D99C5E"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En el escenario de crecimiento nominal cero se tiene en cuenta la posibilidad de absorber el nivel previsto de aumentos inflacionarios de aproximadamente 5,5 millones de francos suizos para el período financiero, así como el aumento previsto de los costos energéticos de 0,9 millones de francos suizos resultantes del entorno </w:t>
      </w:r>
      <w:r w:rsidR="003A6093" w:rsidRPr="00755E85">
        <w:rPr>
          <w:rFonts w:eastAsiaTheme="minorHAnsi" w:cstheme="minorBidi"/>
          <w:lang w:val="es-ES"/>
        </w:rPr>
        <w:t>macroeconómico</w:t>
      </w:r>
      <w:r w:rsidRPr="00755E85">
        <w:rPr>
          <w:rFonts w:eastAsiaTheme="minorHAnsi" w:cstheme="minorBidi"/>
          <w:lang w:val="es-ES"/>
        </w:rPr>
        <w:t xml:space="preserve"> actual y previsto. Sin financiación adicional, como en el escenario de crecimiento nominal cero, este monto total de 6,4 millones de francos suizos para el período financiero tendrá que financiarse mediante una correspondiente reducción de las actividades programáticas. En consecuencia, la disminución del poder de compra de la organización en un contexto inflacionario elevado, sin financiación adicional, repercute negativamente en la ejecución del programa, tal como lo solicitan los Miembros de la OMM.</w:t>
      </w:r>
    </w:p>
    <w:p w14:paraId="08644556" w14:textId="318E420E" w:rsidR="00D028ED" w:rsidRPr="00755E85" w:rsidRDefault="00D028ED" w:rsidP="0040688A">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De conformidad con la </w:t>
      </w:r>
      <w:hyperlink r:id="rId20" w:anchor="page=111" w:history="1">
        <w:r w:rsidRPr="00755E85">
          <w:rPr>
            <w:rStyle w:val="Hyperlink"/>
            <w:rFonts w:eastAsiaTheme="minorHAnsi" w:cstheme="minorBidi"/>
            <w:lang w:val="es-ES"/>
          </w:rPr>
          <w:t>Decisión 11 (EC-75)</w:t>
        </w:r>
      </w:hyperlink>
      <w:r w:rsidR="00CD3BA7" w:rsidRPr="00755E85">
        <w:rPr>
          <w:rStyle w:val="Hyperlink"/>
          <w:rFonts w:eastAsiaTheme="minorHAnsi" w:cstheme="minorBidi"/>
          <w:color w:val="auto"/>
          <w:lang w:val="es-ES"/>
        </w:rPr>
        <w:t xml:space="preserve"> — Proceso de preparación y elementos de los gastos máximos para el decimonoveno período financiero (2024-2027),</w:t>
      </w:r>
      <w:r w:rsidRPr="00755E85">
        <w:rPr>
          <w:rFonts w:eastAsiaTheme="minorHAnsi" w:cstheme="minorBidi"/>
          <w:lang w:val="es-ES"/>
        </w:rPr>
        <w:t xml:space="preserve"> el Plan de Funcionamiento incluye un análisis detallado en cada esfera prioritaria del impacto de la financiación limitada al nivel de crecimiento nominal. Esa información puede consultarse en cada esfera prioritaria por objetivos estratégicos en la sección titulada </w:t>
      </w:r>
      <w:r w:rsidR="00D90171">
        <w:rPr>
          <w:rFonts w:eastAsiaTheme="minorHAnsi" w:cstheme="minorBidi"/>
          <w:lang w:val="es-ES"/>
        </w:rPr>
        <w:t>“</w:t>
      </w:r>
      <w:r w:rsidRPr="00755E85">
        <w:rPr>
          <w:rFonts w:eastAsiaTheme="minorHAnsi" w:cstheme="minorBidi"/>
          <w:lang w:val="es-ES"/>
        </w:rPr>
        <w:t>Impacto de la financiación por debajo del nivel de propuesta del Secretario General</w:t>
      </w:r>
      <w:r w:rsidR="00D90171">
        <w:rPr>
          <w:rFonts w:eastAsiaTheme="minorHAnsi" w:cstheme="minorBidi"/>
          <w:lang w:val="es-ES"/>
        </w:rPr>
        <w:t>”</w:t>
      </w:r>
      <w:r w:rsidRPr="00755E85">
        <w:rPr>
          <w:rFonts w:eastAsiaTheme="minorHAnsi" w:cstheme="minorBidi"/>
          <w:lang w:val="es-ES"/>
        </w:rPr>
        <w:t xml:space="preserve">. Por lo tanto, </w:t>
      </w:r>
      <w:r w:rsidR="008D20B5">
        <w:rPr>
          <w:rFonts w:eastAsiaTheme="minorHAnsi" w:cstheme="minorBidi"/>
          <w:lang w:val="es-ES"/>
        </w:rPr>
        <w:t>el presente</w:t>
      </w:r>
      <w:r w:rsidRPr="00755E85">
        <w:rPr>
          <w:rFonts w:eastAsiaTheme="minorHAnsi" w:cstheme="minorBidi"/>
          <w:lang w:val="es-ES"/>
        </w:rPr>
        <w:t xml:space="preserve"> documento no duplicará ese debate. Sin embargo, en el cuadro 3 se presentan</w:t>
      </w:r>
      <w:r w:rsidR="001D48E4">
        <w:rPr>
          <w:rFonts w:eastAsiaTheme="minorHAnsi" w:cstheme="minorBidi"/>
          <w:lang w:val="es-ES"/>
        </w:rPr>
        <w:t>, de forma resumida, efe</w:t>
      </w:r>
      <w:r w:rsidRPr="00755E85">
        <w:rPr>
          <w:rFonts w:eastAsiaTheme="minorHAnsi" w:cstheme="minorBidi"/>
          <w:lang w:val="es-ES"/>
        </w:rPr>
        <w:t>ctos de los fondos reducidos en los principales resultados concretos identificados en la propuesta del Secretario General:</w:t>
      </w:r>
    </w:p>
    <w:p w14:paraId="09C49849" w14:textId="77777777" w:rsidR="00D028ED" w:rsidRPr="00755E85" w:rsidRDefault="00D028ED" w:rsidP="00D028ED">
      <w:pPr>
        <w:tabs>
          <w:tab w:val="clear" w:pos="1134"/>
          <w:tab w:val="left" w:pos="1418"/>
        </w:tabs>
        <w:spacing w:after="200"/>
        <w:jc w:val="left"/>
        <w:textAlignment w:val="baseline"/>
        <w:rPr>
          <w:rFonts w:eastAsiaTheme="minorEastAsia" w:cstheme="minorBidi"/>
          <w:szCs w:val="22"/>
          <w:lang w:val="es-ES" w:eastAsia="zh-CN"/>
        </w:rPr>
      </w:pPr>
    </w:p>
    <w:p w14:paraId="5612EA28" w14:textId="77777777" w:rsidR="00D028ED" w:rsidRPr="00755E85" w:rsidRDefault="00D028ED" w:rsidP="00D028ED">
      <w:pPr>
        <w:tabs>
          <w:tab w:val="clear" w:pos="1134"/>
          <w:tab w:val="left" w:pos="1418"/>
        </w:tabs>
        <w:spacing w:after="200"/>
        <w:jc w:val="left"/>
        <w:rPr>
          <w:rFonts w:eastAsiaTheme="minorEastAsia" w:cstheme="minorBidi"/>
          <w:szCs w:val="22"/>
          <w:lang w:val="es-ES" w:eastAsia="zh-CN"/>
        </w:rPr>
      </w:pPr>
      <w:r w:rsidRPr="00755E85">
        <w:rPr>
          <w:rFonts w:eastAsiaTheme="minorEastAsia" w:cstheme="minorBidi"/>
          <w:szCs w:val="22"/>
          <w:lang w:val="es-ES"/>
        </w:rPr>
        <w:br w:type="page"/>
      </w:r>
    </w:p>
    <w:p w14:paraId="2EADDEDE" w14:textId="1266981A" w:rsidR="00D028ED" w:rsidRPr="00755E85" w:rsidRDefault="00D028ED" w:rsidP="00D028ED">
      <w:pPr>
        <w:tabs>
          <w:tab w:val="clear" w:pos="1134"/>
          <w:tab w:val="left" w:pos="1418"/>
        </w:tabs>
        <w:spacing w:after="200"/>
        <w:jc w:val="center"/>
        <w:textAlignment w:val="baseline"/>
        <w:rPr>
          <w:rFonts w:eastAsiaTheme="minorEastAsia" w:cstheme="minorBidi"/>
          <w:b/>
          <w:bCs/>
          <w:szCs w:val="22"/>
          <w:lang w:val="es-ES" w:eastAsia="zh-CN"/>
        </w:rPr>
      </w:pPr>
      <w:r w:rsidRPr="00755E85">
        <w:rPr>
          <w:rFonts w:eastAsiaTheme="minorEastAsia" w:cstheme="minorBidi"/>
          <w:b/>
          <w:szCs w:val="22"/>
          <w:lang w:val="es-ES"/>
        </w:rPr>
        <w:lastRenderedPageBreak/>
        <w:t>Cuadro 3.</w:t>
      </w:r>
    </w:p>
    <w:p w14:paraId="5F4BB86C" w14:textId="77777777" w:rsidR="00D028ED" w:rsidRPr="00755E85" w:rsidRDefault="00D028ED" w:rsidP="00D028ED">
      <w:pPr>
        <w:tabs>
          <w:tab w:val="clear" w:pos="1134"/>
          <w:tab w:val="left" w:pos="1418"/>
        </w:tabs>
        <w:spacing w:after="200"/>
        <w:jc w:val="center"/>
        <w:textAlignment w:val="baseline"/>
        <w:rPr>
          <w:rFonts w:eastAsiaTheme="minorEastAsia" w:cstheme="minorBidi"/>
          <w:szCs w:val="22"/>
          <w:lang w:val="es-ES" w:eastAsia="zh-CN"/>
        </w:rPr>
      </w:pPr>
      <w:r w:rsidRPr="00755E85">
        <w:rPr>
          <w:rFonts w:eastAsiaTheme="minorEastAsia" w:cstheme="minorBidi"/>
          <w:b/>
          <w:szCs w:val="22"/>
          <w:lang w:val="es-ES"/>
        </w:rPr>
        <w:t xml:space="preserve">Impacto del escenario de crecimiento nominal cero en las principales prestaciones </w:t>
      </w:r>
      <w:r w:rsidRPr="00755E85">
        <w:rPr>
          <w:rFonts w:eastAsiaTheme="minorEastAsia" w:cstheme="minorBidi"/>
          <w:b/>
          <w:i/>
          <w:szCs w:val="22"/>
          <w:lang w:val="es-ES"/>
        </w:rPr>
        <w:br/>
      </w:r>
      <w:r w:rsidRPr="00755E85">
        <w:rPr>
          <w:rFonts w:eastAsiaTheme="minorEastAsia" w:cstheme="minorBidi"/>
          <w:i/>
          <w:szCs w:val="22"/>
          <w:lang w:val="es-ES"/>
        </w:rPr>
        <w:t>(cantidades en miles de francos suizos)</w:t>
      </w:r>
    </w:p>
    <w:p w14:paraId="76EEF5E7" w14:textId="77777777" w:rsidR="00D028ED" w:rsidRPr="00755E85" w:rsidRDefault="00D028ED" w:rsidP="00D028ED">
      <w:pPr>
        <w:tabs>
          <w:tab w:val="clear" w:pos="1134"/>
          <w:tab w:val="left" w:pos="1418"/>
        </w:tabs>
        <w:spacing w:after="200"/>
        <w:jc w:val="left"/>
        <w:textAlignment w:val="baseline"/>
        <w:rPr>
          <w:rFonts w:ascii="Times New Roman" w:eastAsia="MS Mincho" w:hAnsi="Times New Roman" w:cs="Times New Roman"/>
          <w:szCs w:val="22"/>
          <w:lang w:val="es-ES" w:eastAsia="zh-TW"/>
        </w:rPr>
      </w:pPr>
      <w:r w:rsidRPr="003C3066">
        <w:rPr>
          <w:rFonts w:eastAsiaTheme="minorEastAsia" w:cstheme="minorBidi"/>
          <w:noProof/>
          <w:szCs w:val="22"/>
        </w:rPr>
        <w:fldChar w:fldCharType="begin"/>
      </w:r>
      <w:r w:rsidRPr="00755E85">
        <w:rPr>
          <w:rFonts w:eastAsiaTheme="minorEastAsia" w:cstheme="minorBidi"/>
          <w:noProof/>
          <w:szCs w:val="22"/>
          <w:lang w:val="es-ES"/>
        </w:rPr>
        <w:instrText xml:space="preserve"> LINK Excel.Sheet.12 "https://wmoomm.sharepoint.com/sites/GS-Finance/Shared%20Documents/Finance/Budget/2024-2027/TABLE%20FOR%20DOCUMENT.xlsx" "Table 3!R3C1:R8C5" \a \f 4 \h  \* MERGEFORMAT </w:instrText>
      </w:r>
      <w:r w:rsidRPr="003C3066">
        <w:rPr>
          <w:rFonts w:eastAsiaTheme="minorEastAsia" w:cstheme="minorBidi"/>
          <w:noProof/>
          <w:szCs w:val="22"/>
        </w:rPr>
        <w:fldChar w:fldCharType="separate"/>
      </w:r>
    </w:p>
    <w:tbl>
      <w:tblPr>
        <w:tblW w:w="5000" w:type="pct"/>
        <w:tblLayout w:type="fixed"/>
        <w:tblLook w:val="04A0" w:firstRow="1" w:lastRow="0" w:firstColumn="1" w:lastColumn="0" w:noHBand="0" w:noVBand="1"/>
      </w:tblPr>
      <w:tblGrid>
        <w:gridCol w:w="2930"/>
        <w:gridCol w:w="2009"/>
        <w:gridCol w:w="4700"/>
      </w:tblGrid>
      <w:tr w:rsidR="00D028ED" w:rsidRPr="0097536F" w14:paraId="7C7294C9" w14:textId="77777777" w:rsidTr="00996F77">
        <w:trPr>
          <w:trHeight w:val="1005"/>
        </w:trPr>
        <w:tc>
          <w:tcPr>
            <w:tcW w:w="1520" w:type="pct"/>
            <w:tcBorders>
              <w:top w:val="single" w:sz="8" w:space="0" w:color="auto"/>
              <w:left w:val="nil"/>
              <w:bottom w:val="single" w:sz="8" w:space="0" w:color="auto"/>
              <w:right w:val="nil"/>
            </w:tcBorders>
            <w:shd w:val="clear" w:color="auto" w:fill="F2F2F2" w:themeFill="background1" w:themeFillShade="F2"/>
            <w:vAlign w:val="center"/>
            <w:hideMark/>
          </w:tcPr>
          <w:p w14:paraId="485C839F" w14:textId="7810C754" w:rsidR="00D028ED" w:rsidRPr="003C3066" w:rsidRDefault="00D028ED" w:rsidP="00D028ED">
            <w:pPr>
              <w:tabs>
                <w:tab w:val="clear" w:pos="1134"/>
                <w:tab w:val="left" w:pos="1418"/>
              </w:tabs>
              <w:spacing w:before="60" w:after="60"/>
              <w:jc w:val="center"/>
              <w:rPr>
                <w:rFonts w:eastAsia="Times New Roman" w:cs="Calibri"/>
                <w:color w:val="000000"/>
                <w:lang w:eastAsia="zh-CN"/>
              </w:rPr>
            </w:pPr>
            <w:r w:rsidRPr="003C3066">
              <w:rPr>
                <w:rFonts w:eastAsia="Times New Roman" w:cs="Calibri"/>
                <w:color w:val="000000"/>
              </w:rPr>
              <w:t>Entrega</w:t>
            </w:r>
            <w:r w:rsidR="000A2F68">
              <w:rPr>
                <w:rFonts w:eastAsia="Times New Roman" w:cs="Calibri"/>
                <w:color w:val="000000"/>
              </w:rPr>
              <w:t>bles</w:t>
            </w:r>
          </w:p>
        </w:tc>
        <w:tc>
          <w:tcPr>
            <w:tcW w:w="1042" w:type="pct"/>
            <w:tcBorders>
              <w:top w:val="single" w:sz="8" w:space="0" w:color="auto"/>
              <w:left w:val="nil"/>
              <w:bottom w:val="single" w:sz="8" w:space="0" w:color="auto"/>
              <w:right w:val="nil"/>
            </w:tcBorders>
            <w:shd w:val="clear" w:color="auto" w:fill="F2F2F2" w:themeFill="background1" w:themeFillShade="F2"/>
            <w:vAlign w:val="center"/>
            <w:hideMark/>
          </w:tcPr>
          <w:p w14:paraId="20324966" w14:textId="0F3652D9" w:rsidR="00D028ED" w:rsidRPr="0076566F" w:rsidRDefault="00D028ED" w:rsidP="00D028ED">
            <w:pPr>
              <w:tabs>
                <w:tab w:val="clear" w:pos="1134"/>
                <w:tab w:val="left" w:pos="1418"/>
              </w:tabs>
              <w:spacing w:before="60" w:after="60"/>
              <w:jc w:val="center"/>
              <w:rPr>
                <w:rFonts w:eastAsia="Times New Roman" w:cs="Calibri"/>
                <w:color w:val="000000"/>
                <w:lang w:val="es-ES" w:eastAsia="zh-CN"/>
              </w:rPr>
            </w:pPr>
            <w:r w:rsidRPr="0076566F">
              <w:rPr>
                <w:rFonts w:eastAsia="Times New Roman" w:cs="Calibri"/>
                <w:color w:val="000000"/>
                <w:lang w:val="es-ES"/>
              </w:rPr>
              <w:t>Reducción de la financiación en el marco del crecimiento nominal</w:t>
            </w:r>
            <w:r w:rsidR="000A2F68">
              <w:rPr>
                <w:rFonts w:eastAsia="Times New Roman" w:cs="Calibri"/>
                <w:color w:val="000000"/>
                <w:lang w:val="es-ES"/>
              </w:rPr>
              <w:t xml:space="preserve"> cero</w:t>
            </w:r>
          </w:p>
        </w:tc>
        <w:tc>
          <w:tcPr>
            <w:tcW w:w="2438" w:type="pct"/>
            <w:tcBorders>
              <w:top w:val="single" w:sz="8" w:space="0" w:color="auto"/>
              <w:left w:val="nil"/>
              <w:bottom w:val="single" w:sz="8" w:space="0" w:color="auto"/>
              <w:right w:val="nil"/>
            </w:tcBorders>
            <w:shd w:val="clear" w:color="auto" w:fill="F2F2F2" w:themeFill="background1" w:themeFillShade="F2"/>
            <w:vAlign w:val="center"/>
            <w:hideMark/>
          </w:tcPr>
          <w:p w14:paraId="44369157" w14:textId="61442359" w:rsidR="00D028ED" w:rsidRPr="0076566F" w:rsidRDefault="00D028ED" w:rsidP="00D028ED">
            <w:pPr>
              <w:tabs>
                <w:tab w:val="clear" w:pos="1134"/>
                <w:tab w:val="left" w:pos="1418"/>
              </w:tabs>
              <w:spacing w:before="60" w:after="60"/>
              <w:jc w:val="center"/>
              <w:rPr>
                <w:rFonts w:eastAsia="Times New Roman" w:cs="Calibri"/>
                <w:color w:val="000000"/>
                <w:lang w:val="es-ES" w:eastAsia="zh-CN"/>
              </w:rPr>
            </w:pPr>
            <w:r w:rsidRPr="0076566F">
              <w:rPr>
                <w:rFonts w:eastAsia="Times New Roman" w:cs="Calibri"/>
                <w:color w:val="000000"/>
                <w:lang w:val="es-ES"/>
              </w:rPr>
              <w:t>Impacto de la reducción de fondos</w:t>
            </w:r>
          </w:p>
        </w:tc>
      </w:tr>
      <w:tr w:rsidR="00D028ED" w:rsidRPr="0097536F" w14:paraId="49AAE52B" w14:textId="77777777" w:rsidTr="00996F77">
        <w:trPr>
          <w:trHeight w:val="1707"/>
        </w:trPr>
        <w:tc>
          <w:tcPr>
            <w:tcW w:w="1520" w:type="pct"/>
            <w:tcBorders>
              <w:top w:val="nil"/>
              <w:left w:val="nil"/>
              <w:bottom w:val="nil"/>
              <w:right w:val="nil"/>
            </w:tcBorders>
            <w:shd w:val="clear" w:color="000000" w:fill="FFFFFF"/>
            <w:vAlign w:val="center"/>
            <w:hideMark/>
          </w:tcPr>
          <w:p w14:paraId="52C2EF96" w14:textId="77777777" w:rsidR="00D028ED" w:rsidRPr="0076566F" w:rsidRDefault="00D028ED" w:rsidP="00D028ED">
            <w:pPr>
              <w:tabs>
                <w:tab w:val="clear" w:pos="1134"/>
                <w:tab w:val="left" w:pos="1418"/>
              </w:tabs>
              <w:spacing w:before="60" w:after="60"/>
              <w:jc w:val="left"/>
              <w:rPr>
                <w:rFonts w:eastAsia="Times New Roman" w:cs="Calibri"/>
                <w:color w:val="000000"/>
                <w:lang w:val="es-ES" w:eastAsia="zh-CN"/>
              </w:rPr>
            </w:pPr>
            <w:r w:rsidRPr="0076566F">
              <w:rPr>
                <w:rFonts w:eastAsia="Times New Roman" w:cs="Calibri"/>
                <w:color w:val="000000"/>
                <w:lang w:val="es-ES"/>
              </w:rPr>
              <w:t>Sistemas de alerta temprana para todos implementados para 2027</w:t>
            </w:r>
          </w:p>
        </w:tc>
        <w:tc>
          <w:tcPr>
            <w:tcW w:w="1042" w:type="pct"/>
            <w:tcBorders>
              <w:top w:val="nil"/>
              <w:left w:val="nil"/>
              <w:bottom w:val="nil"/>
              <w:right w:val="nil"/>
            </w:tcBorders>
            <w:shd w:val="clear" w:color="000000" w:fill="FFFFFF"/>
            <w:vAlign w:val="center"/>
            <w:hideMark/>
          </w:tcPr>
          <w:p w14:paraId="1B6E1E0B" w14:textId="074525B6" w:rsidR="00D028ED" w:rsidRPr="003C3066" w:rsidRDefault="00D028ED" w:rsidP="00D028ED">
            <w:pPr>
              <w:tabs>
                <w:tab w:val="clear" w:pos="1134"/>
                <w:tab w:val="left" w:pos="1418"/>
              </w:tabs>
              <w:spacing w:before="60" w:after="60"/>
              <w:jc w:val="left"/>
              <w:rPr>
                <w:rFonts w:eastAsia="Times New Roman" w:cs="Calibri"/>
                <w:color w:val="000000"/>
                <w:lang w:eastAsia="zh-CN"/>
              </w:rPr>
            </w:pPr>
            <w:r w:rsidRPr="003C3066">
              <w:rPr>
                <w:rFonts w:eastAsia="Times New Roman" w:cs="Calibri"/>
                <w:color w:val="000000"/>
              </w:rPr>
              <w:t>3,2 millones</w:t>
            </w:r>
            <w:r w:rsidR="000A2F68">
              <w:rPr>
                <w:rFonts w:eastAsia="Times New Roman" w:cs="Calibri"/>
                <w:color w:val="000000"/>
              </w:rPr>
              <w:t xml:space="preserve"> </w:t>
            </w:r>
            <w:r w:rsidR="000A2F68" w:rsidRPr="003C3066">
              <w:rPr>
                <w:rFonts w:eastAsia="Times New Roman" w:cs="Calibri"/>
                <w:color w:val="000000"/>
              </w:rPr>
              <w:t>CHF</w:t>
            </w:r>
          </w:p>
        </w:tc>
        <w:tc>
          <w:tcPr>
            <w:tcW w:w="2438" w:type="pct"/>
            <w:tcBorders>
              <w:top w:val="nil"/>
              <w:left w:val="nil"/>
              <w:bottom w:val="nil"/>
              <w:right w:val="nil"/>
            </w:tcBorders>
            <w:shd w:val="clear" w:color="000000" w:fill="FFFFFF"/>
            <w:vAlign w:val="center"/>
            <w:hideMark/>
          </w:tcPr>
          <w:p w14:paraId="6A834996" w14:textId="51ED3B84" w:rsidR="00D028ED" w:rsidRPr="0076566F" w:rsidRDefault="00D028ED" w:rsidP="00D028ED">
            <w:pPr>
              <w:tabs>
                <w:tab w:val="clear" w:pos="1134"/>
                <w:tab w:val="left" w:pos="1418"/>
              </w:tabs>
              <w:spacing w:before="60" w:after="60"/>
              <w:ind w:left="210"/>
              <w:jc w:val="left"/>
              <w:rPr>
                <w:rFonts w:eastAsia="Times New Roman" w:cs="Calibri"/>
                <w:color w:val="000000"/>
                <w:lang w:val="es-ES" w:eastAsia="zh-CN"/>
              </w:rPr>
            </w:pPr>
            <w:r w:rsidRPr="0076566F">
              <w:rPr>
                <w:rFonts w:eastAsia="Times New Roman" w:cs="Calibri"/>
                <w:color w:val="000000"/>
                <w:lang w:val="es-ES"/>
              </w:rPr>
              <w:t>No se alcanzará el compromiso d</w:t>
            </w:r>
            <w:r w:rsidR="00267CE3">
              <w:rPr>
                <w:rFonts w:eastAsia="Times New Roman" w:cs="Calibri"/>
                <w:color w:val="000000"/>
                <w:lang w:val="es-ES"/>
              </w:rPr>
              <w:t>el servicio de alertas temprana para 2027</w:t>
            </w:r>
            <w:r w:rsidRPr="0076566F">
              <w:rPr>
                <w:rFonts w:eastAsia="Times New Roman" w:cs="Calibri"/>
                <w:color w:val="000000"/>
                <w:lang w:val="es-ES"/>
              </w:rPr>
              <w:t>, lo que repercute en la vida y los medios de subsistencia de la comunidad mundial, en particular con respecto al último esla</w:t>
            </w:r>
            <w:r w:rsidR="00036130">
              <w:rPr>
                <w:rFonts w:eastAsia="Times New Roman" w:cs="Calibri"/>
                <w:color w:val="000000"/>
                <w:lang w:val="es-ES"/>
              </w:rPr>
              <w:t>bón</w:t>
            </w:r>
            <w:r w:rsidRPr="0076566F">
              <w:rPr>
                <w:rFonts w:eastAsia="Times New Roman" w:cs="Calibri"/>
                <w:color w:val="000000"/>
                <w:lang w:val="es-ES"/>
              </w:rPr>
              <w:t xml:space="preserve"> en los países menos adelantados (PMA) y los pequeños Estados </w:t>
            </w:r>
            <w:r w:rsidR="008505C6">
              <w:rPr>
                <w:rFonts w:eastAsia="Times New Roman" w:cs="Calibri"/>
                <w:color w:val="000000"/>
                <w:lang w:val="es-ES"/>
              </w:rPr>
              <w:t xml:space="preserve">en desarrollo </w:t>
            </w:r>
            <w:r w:rsidRPr="0076566F">
              <w:rPr>
                <w:rFonts w:eastAsia="Times New Roman" w:cs="Calibri"/>
                <w:color w:val="000000"/>
                <w:lang w:val="es-ES"/>
              </w:rPr>
              <w:t>(PEID).</w:t>
            </w:r>
          </w:p>
        </w:tc>
      </w:tr>
      <w:tr w:rsidR="00D028ED" w:rsidRPr="0097536F" w14:paraId="66A5DC64" w14:textId="77777777" w:rsidTr="00996F77">
        <w:trPr>
          <w:trHeight w:val="1707"/>
        </w:trPr>
        <w:tc>
          <w:tcPr>
            <w:tcW w:w="1520" w:type="pct"/>
            <w:tcBorders>
              <w:top w:val="single" w:sz="4" w:space="0" w:color="D9D9D9"/>
              <w:left w:val="nil"/>
              <w:bottom w:val="single" w:sz="4" w:space="0" w:color="D9D9D9"/>
              <w:right w:val="nil"/>
            </w:tcBorders>
            <w:shd w:val="clear" w:color="000000" w:fill="FFFFFF"/>
            <w:vAlign w:val="center"/>
            <w:hideMark/>
          </w:tcPr>
          <w:p w14:paraId="3C268F1E" w14:textId="77777777" w:rsidR="00D028ED" w:rsidRPr="0076566F" w:rsidRDefault="00D028ED" w:rsidP="00D028ED">
            <w:pPr>
              <w:tabs>
                <w:tab w:val="clear" w:pos="1134"/>
                <w:tab w:val="left" w:pos="1418"/>
              </w:tabs>
              <w:spacing w:before="60" w:after="60"/>
              <w:jc w:val="left"/>
              <w:rPr>
                <w:rFonts w:eastAsia="Times New Roman" w:cs="Calibri"/>
                <w:color w:val="000000"/>
                <w:lang w:val="es-ES" w:eastAsia="zh-CN"/>
              </w:rPr>
            </w:pPr>
            <w:r w:rsidRPr="0076566F">
              <w:rPr>
                <w:rFonts w:eastAsia="Times New Roman" w:cs="Calibri"/>
                <w:color w:val="000000"/>
                <w:lang w:val="es-ES"/>
              </w:rPr>
              <w:t>Aplicación de la infraestructura mundial de vigilancia de los gases de efecto invernadero</w:t>
            </w:r>
          </w:p>
        </w:tc>
        <w:tc>
          <w:tcPr>
            <w:tcW w:w="1042" w:type="pct"/>
            <w:tcBorders>
              <w:top w:val="single" w:sz="4" w:space="0" w:color="D9D9D9"/>
              <w:left w:val="nil"/>
              <w:bottom w:val="single" w:sz="4" w:space="0" w:color="D9D9D9"/>
              <w:right w:val="nil"/>
            </w:tcBorders>
            <w:shd w:val="clear" w:color="000000" w:fill="FFFFFF"/>
            <w:vAlign w:val="center"/>
            <w:hideMark/>
          </w:tcPr>
          <w:p w14:paraId="2E4D4C57" w14:textId="678AA2A0" w:rsidR="00D028ED" w:rsidRPr="003C3066" w:rsidRDefault="00D028ED" w:rsidP="00D028ED">
            <w:pPr>
              <w:tabs>
                <w:tab w:val="clear" w:pos="1134"/>
                <w:tab w:val="left" w:pos="1418"/>
              </w:tabs>
              <w:spacing w:before="60" w:after="60"/>
              <w:jc w:val="left"/>
              <w:rPr>
                <w:rFonts w:eastAsia="Times New Roman" w:cs="Calibri"/>
                <w:color w:val="000000"/>
                <w:lang w:eastAsia="zh-CN"/>
              </w:rPr>
            </w:pPr>
            <w:r w:rsidRPr="003C3066">
              <w:rPr>
                <w:rFonts w:eastAsia="Times New Roman" w:cs="Calibri"/>
                <w:color w:val="000000"/>
              </w:rPr>
              <w:t>2,5 millones</w:t>
            </w:r>
            <w:r w:rsidR="000A2F68">
              <w:rPr>
                <w:rFonts w:eastAsia="Times New Roman" w:cs="Calibri"/>
                <w:color w:val="000000"/>
              </w:rPr>
              <w:t xml:space="preserve"> </w:t>
            </w:r>
            <w:r w:rsidR="000A2F68" w:rsidRPr="003C3066">
              <w:rPr>
                <w:rFonts w:eastAsia="Times New Roman" w:cs="Calibri"/>
                <w:color w:val="000000"/>
              </w:rPr>
              <w:t>CHF</w:t>
            </w:r>
          </w:p>
        </w:tc>
        <w:tc>
          <w:tcPr>
            <w:tcW w:w="2438" w:type="pct"/>
            <w:tcBorders>
              <w:top w:val="single" w:sz="4" w:space="0" w:color="D9D9D9"/>
              <w:left w:val="nil"/>
              <w:bottom w:val="single" w:sz="4" w:space="0" w:color="D9D9D9"/>
              <w:right w:val="nil"/>
            </w:tcBorders>
            <w:shd w:val="clear" w:color="000000" w:fill="FFFFFF"/>
            <w:vAlign w:val="center"/>
            <w:hideMark/>
          </w:tcPr>
          <w:p w14:paraId="6676624C" w14:textId="52BE72A5" w:rsidR="00D028ED" w:rsidRPr="0076566F" w:rsidRDefault="00D028ED" w:rsidP="00D028ED">
            <w:pPr>
              <w:tabs>
                <w:tab w:val="clear" w:pos="1134"/>
                <w:tab w:val="left" w:pos="1418"/>
              </w:tabs>
              <w:spacing w:before="60" w:after="60"/>
              <w:ind w:left="210"/>
              <w:jc w:val="left"/>
              <w:rPr>
                <w:rFonts w:eastAsia="Times New Roman" w:cs="Calibri"/>
                <w:color w:val="000000"/>
                <w:lang w:val="es-ES" w:eastAsia="zh-CN"/>
              </w:rPr>
            </w:pPr>
            <w:r w:rsidRPr="0076566F">
              <w:rPr>
                <w:rFonts w:eastAsia="Times New Roman" w:cs="Calibri"/>
                <w:color w:val="000000"/>
                <w:lang w:val="es-ES"/>
              </w:rPr>
              <w:t xml:space="preserve">La </w:t>
            </w:r>
            <w:r w:rsidR="00DD3C19">
              <w:rPr>
                <w:rFonts w:eastAsia="Times New Roman" w:cs="Calibri"/>
                <w:color w:val="000000"/>
                <w:lang w:val="es-ES"/>
              </w:rPr>
              <w:t>implementación</w:t>
            </w:r>
            <w:r w:rsidRPr="0076566F">
              <w:rPr>
                <w:rFonts w:eastAsia="Times New Roman" w:cs="Calibri"/>
                <w:color w:val="000000"/>
                <w:lang w:val="es-ES"/>
              </w:rPr>
              <w:t xml:space="preserve"> de la OMM en la infraestructura coordinada para la vigilancia de los gases de efecto invernadero no se aplicará; Así pues, </w:t>
            </w:r>
            <w:r w:rsidR="00F92DD4">
              <w:rPr>
                <w:rFonts w:eastAsia="Times New Roman" w:cs="Calibri"/>
                <w:color w:val="000000"/>
                <w:lang w:val="es-ES"/>
              </w:rPr>
              <w:t>se retrasará</w:t>
            </w:r>
            <w:r w:rsidRPr="0076566F">
              <w:rPr>
                <w:rFonts w:eastAsia="Times New Roman" w:cs="Calibri"/>
                <w:color w:val="000000"/>
                <w:lang w:val="es-ES"/>
              </w:rPr>
              <w:t xml:space="preserve"> la adopción de medidas mundiales coordinadas en relación con esta iniciativa decisiva y reducir el impacto y la influencia de la OMM en la vigilancia y mitigación de los niveles mundiales de gases de efecto invernadero.</w:t>
            </w:r>
          </w:p>
        </w:tc>
      </w:tr>
      <w:tr w:rsidR="00D028ED" w:rsidRPr="0097536F" w14:paraId="4CBFFEF0" w14:textId="77777777" w:rsidTr="00996F77">
        <w:trPr>
          <w:trHeight w:val="1707"/>
        </w:trPr>
        <w:tc>
          <w:tcPr>
            <w:tcW w:w="1520" w:type="pct"/>
            <w:tcBorders>
              <w:top w:val="nil"/>
              <w:left w:val="nil"/>
              <w:bottom w:val="single" w:sz="4" w:space="0" w:color="D9D9D9"/>
              <w:right w:val="nil"/>
            </w:tcBorders>
            <w:shd w:val="clear" w:color="000000" w:fill="FFFFFF"/>
            <w:vAlign w:val="center"/>
            <w:hideMark/>
          </w:tcPr>
          <w:p w14:paraId="0404DFEB" w14:textId="77777777" w:rsidR="00D028ED" w:rsidRPr="0076566F" w:rsidRDefault="00D028ED" w:rsidP="00D028ED">
            <w:pPr>
              <w:tabs>
                <w:tab w:val="clear" w:pos="1134"/>
                <w:tab w:val="left" w:pos="1418"/>
              </w:tabs>
              <w:spacing w:before="60" w:after="60"/>
              <w:jc w:val="left"/>
              <w:rPr>
                <w:rFonts w:eastAsia="Times New Roman" w:cs="Calibri"/>
                <w:color w:val="000000"/>
                <w:lang w:val="es-ES" w:eastAsia="zh-CN"/>
              </w:rPr>
            </w:pPr>
            <w:r w:rsidRPr="0076566F">
              <w:rPr>
                <w:rFonts w:eastAsia="Times New Roman" w:cs="Calibri"/>
                <w:color w:val="000000"/>
                <w:lang w:val="es-ES"/>
              </w:rPr>
              <w:t>Reorganización y optimización de la eficacia de las oficinas regionales y de representación de la OMM</w:t>
            </w:r>
          </w:p>
        </w:tc>
        <w:tc>
          <w:tcPr>
            <w:tcW w:w="1042" w:type="pct"/>
            <w:tcBorders>
              <w:top w:val="nil"/>
              <w:left w:val="nil"/>
              <w:bottom w:val="single" w:sz="4" w:space="0" w:color="D9D9D9"/>
              <w:right w:val="nil"/>
            </w:tcBorders>
            <w:shd w:val="clear" w:color="000000" w:fill="FFFFFF"/>
            <w:vAlign w:val="center"/>
            <w:hideMark/>
          </w:tcPr>
          <w:p w14:paraId="4A0EE9F3" w14:textId="7B394CBB" w:rsidR="00D028ED" w:rsidRPr="003C3066" w:rsidRDefault="00D028ED" w:rsidP="00D028ED">
            <w:pPr>
              <w:tabs>
                <w:tab w:val="clear" w:pos="1134"/>
                <w:tab w:val="left" w:pos="1418"/>
              </w:tabs>
              <w:spacing w:before="60" w:after="60"/>
              <w:jc w:val="left"/>
              <w:rPr>
                <w:rFonts w:eastAsia="Times New Roman" w:cs="Calibri"/>
                <w:color w:val="000000"/>
                <w:lang w:eastAsia="zh-CN"/>
              </w:rPr>
            </w:pPr>
            <w:r w:rsidRPr="003C3066">
              <w:rPr>
                <w:rFonts w:eastAsia="Times New Roman" w:cs="Calibri"/>
                <w:color w:val="000000"/>
              </w:rPr>
              <w:t>3,5 millones</w:t>
            </w:r>
            <w:r w:rsidR="000A2F68">
              <w:rPr>
                <w:rFonts w:eastAsia="Times New Roman" w:cs="Calibri"/>
                <w:color w:val="000000"/>
              </w:rPr>
              <w:t xml:space="preserve"> </w:t>
            </w:r>
            <w:r w:rsidR="000A2F68" w:rsidRPr="003C3066">
              <w:rPr>
                <w:rFonts w:eastAsia="Times New Roman" w:cs="Calibri"/>
                <w:color w:val="000000"/>
              </w:rPr>
              <w:t>CHF</w:t>
            </w:r>
          </w:p>
        </w:tc>
        <w:tc>
          <w:tcPr>
            <w:tcW w:w="2438" w:type="pct"/>
            <w:tcBorders>
              <w:top w:val="nil"/>
              <w:left w:val="nil"/>
              <w:bottom w:val="single" w:sz="4" w:space="0" w:color="D9D9D9"/>
              <w:right w:val="nil"/>
            </w:tcBorders>
            <w:shd w:val="clear" w:color="000000" w:fill="FFFFFF"/>
            <w:vAlign w:val="center"/>
            <w:hideMark/>
          </w:tcPr>
          <w:p w14:paraId="3931F63B" w14:textId="3586FBF6" w:rsidR="00D028ED" w:rsidRPr="0076566F" w:rsidRDefault="00D028ED" w:rsidP="00D028ED">
            <w:pPr>
              <w:tabs>
                <w:tab w:val="clear" w:pos="1134"/>
                <w:tab w:val="left" w:pos="1418"/>
              </w:tabs>
              <w:spacing w:before="60" w:after="60"/>
              <w:ind w:left="210"/>
              <w:jc w:val="left"/>
              <w:rPr>
                <w:rFonts w:eastAsia="Times New Roman" w:cs="Calibri"/>
                <w:color w:val="000000"/>
                <w:lang w:val="es-ES" w:eastAsia="zh-CN"/>
              </w:rPr>
            </w:pPr>
            <w:r w:rsidRPr="0076566F">
              <w:rPr>
                <w:rFonts w:eastAsia="Times New Roman" w:cs="Calibri"/>
                <w:color w:val="000000"/>
                <w:lang w:val="es-ES"/>
              </w:rPr>
              <w:t>No se aplicarán mejoras en la eficacia de las oficinas regionales y su apoyo a los Miembros y las asociaciones regionales. Ello tendría efectos perjudiciales en todos los programas de la OMM.</w:t>
            </w:r>
          </w:p>
        </w:tc>
      </w:tr>
      <w:tr w:rsidR="00D028ED" w:rsidRPr="0097536F" w14:paraId="06116A48" w14:textId="77777777" w:rsidTr="00996F77">
        <w:trPr>
          <w:trHeight w:val="1707"/>
        </w:trPr>
        <w:tc>
          <w:tcPr>
            <w:tcW w:w="1520" w:type="pct"/>
            <w:tcBorders>
              <w:top w:val="nil"/>
              <w:left w:val="nil"/>
              <w:bottom w:val="single" w:sz="4" w:space="0" w:color="D9D9D9"/>
              <w:right w:val="nil"/>
            </w:tcBorders>
            <w:shd w:val="clear" w:color="000000" w:fill="FFFFFF"/>
            <w:vAlign w:val="center"/>
            <w:hideMark/>
          </w:tcPr>
          <w:p w14:paraId="7CA41E4B" w14:textId="77777777" w:rsidR="00D028ED" w:rsidRPr="0076566F" w:rsidRDefault="00D028ED" w:rsidP="00D028ED">
            <w:pPr>
              <w:tabs>
                <w:tab w:val="clear" w:pos="1134"/>
                <w:tab w:val="left" w:pos="1418"/>
              </w:tabs>
              <w:spacing w:before="60" w:after="60"/>
              <w:jc w:val="left"/>
              <w:rPr>
                <w:rFonts w:eastAsia="Times New Roman" w:cs="Calibri"/>
                <w:color w:val="000000"/>
                <w:lang w:val="es-ES" w:eastAsia="zh-CN"/>
              </w:rPr>
            </w:pPr>
            <w:r w:rsidRPr="0076566F">
              <w:rPr>
                <w:rFonts w:eastAsia="Times New Roman" w:cs="Calibri"/>
                <w:color w:val="000000"/>
                <w:lang w:val="es-ES"/>
              </w:rPr>
              <w:t>Aplicación del Plan de Acción de Hidrología</w:t>
            </w:r>
          </w:p>
        </w:tc>
        <w:tc>
          <w:tcPr>
            <w:tcW w:w="1042" w:type="pct"/>
            <w:tcBorders>
              <w:top w:val="nil"/>
              <w:left w:val="nil"/>
              <w:bottom w:val="single" w:sz="4" w:space="0" w:color="D9D9D9"/>
              <w:right w:val="nil"/>
            </w:tcBorders>
            <w:shd w:val="clear" w:color="000000" w:fill="FFFFFF"/>
            <w:vAlign w:val="center"/>
            <w:hideMark/>
          </w:tcPr>
          <w:p w14:paraId="3F2B0CAC" w14:textId="4FE4B1CA" w:rsidR="00D028ED" w:rsidRPr="003C3066" w:rsidRDefault="00D028ED" w:rsidP="00D028ED">
            <w:pPr>
              <w:tabs>
                <w:tab w:val="clear" w:pos="1134"/>
                <w:tab w:val="left" w:pos="1418"/>
              </w:tabs>
              <w:spacing w:before="60" w:after="60"/>
              <w:jc w:val="left"/>
              <w:rPr>
                <w:rFonts w:eastAsia="Times New Roman" w:cs="Calibri"/>
                <w:color w:val="000000"/>
                <w:lang w:eastAsia="zh-CN"/>
              </w:rPr>
            </w:pPr>
            <w:r w:rsidRPr="003C3066">
              <w:rPr>
                <w:rFonts w:eastAsia="Times New Roman" w:cs="Calibri"/>
                <w:color w:val="000000"/>
              </w:rPr>
              <w:t>1,2 millones</w:t>
            </w:r>
            <w:r w:rsidR="000A2F68">
              <w:rPr>
                <w:rFonts w:eastAsia="Times New Roman" w:cs="Calibri"/>
                <w:color w:val="000000"/>
              </w:rPr>
              <w:t xml:space="preserve"> </w:t>
            </w:r>
            <w:r w:rsidR="000A2F68" w:rsidRPr="003C3066">
              <w:rPr>
                <w:rFonts w:eastAsia="Times New Roman" w:cs="Calibri"/>
                <w:color w:val="000000"/>
              </w:rPr>
              <w:t>CHF</w:t>
            </w:r>
          </w:p>
        </w:tc>
        <w:tc>
          <w:tcPr>
            <w:tcW w:w="2438" w:type="pct"/>
            <w:tcBorders>
              <w:top w:val="nil"/>
              <w:left w:val="nil"/>
              <w:bottom w:val="single" w:sz="4" w:space="0" w:color="D9D9D9"/>
              <w:right w:val="nil"/>
            </w:tcBorders>
            <w:shd w:val="clear" w:color="000000" w:fill="FFFFFF"/>
            <w:vAlign w:val="center"/>
            <w:hideMark/>
          </w:tcPr>
          <w:p w14:paraId="7191EBD6" w14:textId="77777777" w:rsidR="00D028ED" w:rsidRPr="0076566F" w:rsidRDefault="00D028ED" w:rsidP="00D028ED">
            <w:pPr>
              <w:tabs>
                <w:tab w:val="clear" w:pos="1134"/>
                <w:tab w:val="left" w:pos="1418"/>
              </w:tabs>
              <w:spacing w:before="60" w:after="60"/>
              <w:ind w:left="210"/>
              <w:jc w:val="left"/>
              <w:rPr>
                <w:rFonts w:eastAsia="Times New Roman" w:cs="Calibri"/>
                <w:color w:val="000000"/>
                <w:lang w:val="es-ES" w:eastAsia="zh-CN"/>
              </w:rPr>
            </w:pPr>
            <w:r w:rsidRPr="0076566F">
              <w:rPr>
                <w:rFonts w:eastAsia="Times New Roman" w:cs="Calibri"/>
                <w:color w:val="000000"/>
                <w:lang w:val="es-ES"/>
              </w:rPr>
              <w:t>El Plan de Acción de Hidrología, aprobado en la reunión extraordinaria del Congreso de 2021, se retrasará, lo que supondrá la no entrega de productos esenciales centrados en la hidrología, ya que los recursos humanos para gestionar su aplicación no serían suficientes.</w:t>
            </w:r>
          </w:p>
        </w:tc>
      </w:tr>
      <w:tr w:rsidR="00D028ED" w:rsidRPr="0097536F" w14:paraId="18F0A2D6" w14:textId="77777777" w:rsidTr="00996F77">
        <w:trPr>
          <w:trHeight w:val="1707"/>
        </w:trPr>
        <w:tc>
          <w:tcPr>
            <w:tcW w:w="1520" w:type="pct"/>
            <w:tcBorders>
              <w:top w:val="nil"/>
              <w:left w:val="nil"/>
              <w:bottom w:val="single" w:sz="8" w:space="0" w:color="auto"/>
              <w:right w:val="nil"/>
            </w:tcBorders>
            <w:shd w:val="clear" w:color="000000" w:fill="FFFFFF"/>
            <w:vAlign w:val="center"/>
            <w:hideMark/>
          </w:tcPr>
          <w:p w14:paraId="6526F13E" w14:textId="77777777" w:rsidR="00D028ED" w:rsidRPr="0076566F" w:rsidRDefault="00D028ED" w:rsidP="00D028ED">
            <w:pPr>
              <w:tabs>
                <w:tab w:val="clear" w:pos="1134"/>
                <w:tab w:val="left" w:pos="1418"/>
              </w:tabs>
              <w:spacing w:before="60" w:after="60"/>
              <w:jc w:val="left"/>
              <w:rPr>
                <w:rFonts w:eastAsia="Times New Roman" w:cs="Calibri"/>
                <w:color w:val="000000"/>
                <w:lang w:val="es-ES" w:eastAsia="zh-CN"/>
              </w:rPr>
            </w:pPr>
            <w:r w:rsidRPr="0076566F">
              <w:rPr>
                <w:rFonts w:eastAsia="Times New Roman" w:cs="Calibri"/>
                <w:color w:val="000000"/>
                <w:lang w:val="es-ES"/>
              </w:rPr>
              <w:t>Aplicación de los productos finales asociados a los cambios en la criosfera y los impactos aguas abajo en los recursos hídricos y el aumento del nivel del mar</w:t>
            </w:r>
          </w:p>
        </w:tc>
        <w:tc>
          <w:tcPr>
            <w:tcW w:w="1042" w:type="pct"/>
            <w:tcBorders>
              <w:top w:val="nil"/>
              <w:left w:val="nil"/>
              <w:bottom w:val="single" w:sz="8" w:space="0" w:color="auto"/>
              <w:right w:val="nil"/>
            </w:tcBorders>
            <w:shd w:val="clear" w:color="000000" w:fill="FFFFFF"/>
            <w:vAlign w:val="center"/>
            <w:hideMark/>
          </w:tcPr>
          <w:p w14:paraId="2201D45B" w14:textId="05C5606B" w:rsidR="00D028ED" w:rsidRPr="003C3066" w:rsidRDefault="00D028ED" w:rsidP="00D028ED">
            <w:pPr>
              <w:tabs>
                <w:tab w:val="clear" w:pos="1134"/>
                <w:tab w:val="left" w:pos="1418"/>
              </w:tabs>
              <w:spacing w:before="60" w:after="60"/>
              <w:jc w:val="left"/>
              <w:rPr>
                <w:rFonts w:eastAsia="Times New Roman" w:cs="Calibri"/>
                <w:color w:val="000000"/>
                <w:lang w:eastAsia="zh-CN"/>
              </w:rPr>
            </w:pPr>
            <w:r w:rsidRPr="003C3066">
              <w:rPr>
                <w:rFonts w:eastAsia="Times New Roman" w:cs="Calibri"/>
                <w:color w:val="000000"/>
              </w:rPr>
              <w:t>1,0 millones</w:t>
            </w:r>
            <w:r w:rsidR="000A2F68">
              <w:rPr>
                <w:rFonts w:eastAsia="Times New Roman" w:cs="Calibri"/>
                <w:color w:val="000000"/>
              </w:rPr>
              <w:t xml:space="preserve"> </w:t>
            </w:r>
            <w:r w:rsidR="000A2F68" w:rsidRPr="003C3066">
              <w:rPr>
                <w:rFonts w:eastAsia="Times New Roman" w:cs="Calibri"/>
                <w:color w:val="000000"/>
              </w:rPr>
              <w:t>CHF</w:t>
            </w:r>
          </w:p>
        </w:tc>
        <w:tc>
          <w:tcPr>
            <w:tcW w:w="2438" w:type="pct"/>
            <w:tcBorders>
              <w:top w:val="nil"/>
              <w:left w:val="nil"/>
              <w:bottom w:val="single" w:sz="8" w:space="0" w:color="auto"/>
              <w:right w:val="nil"/>
            </w:tcBorders>
            <w:shd w:val="clear" w:color="000000" w:fill="FFFFFF"/>
            <w:vAlign w:val="center"/>
            <w:hideMark/>
          </w:tcPr>
          <w:p w14:paraId="3B3C7210" w14:textId="77777777" w:rsidR="00D028ED" w:rsidRPr="0076566F" w:rsidRDefault="00D028ED" w:rsidP="00D028ED">
            <w:pPr>
              <w:tabs>
                <w:tab w:val="clear" w:pos="1134"/>
                <w:tab w:val="left" w:pos="1418"/>
              </w:tabs>
              <w:spacing w:before="60" w:after="60"/>
              <w:ind w:left="210"/>
              <w:jc w:val="left"/>
              <w:rPr>
                <w:rFonts w:eastAsia="Times New Roman" w:cs="Calibri"/>
                <w:color w:val="000000"/>
                <w:lang w:val="es-ES" w:eastAsia="zh-CN"/>
              </w:rPr>
            </w:pPr>
            <w:r w:rsidRPr="0076566F">
              <w:rPr>
                <w:rFonts w:eastAsia="Times New Roman" w:cs="Calibri"/>
                <w:color w:val="000000"/>
                <w:lang w:val="es-ES"/>
              </w:rPr>
              <w:t>La falta de avances en materia de políticas para abordar adecuadamente los nuevos riesgos relacionados con la criosfera y los impactos aguas abajo en los recursos hídricos y el aumento del nivel del mar, lo que reduce considerablemente la capacidad de la comunidad de la OMM para apoyar los sistemas de alerta de alerta meteorológica para todos.</w:t>
            </w:r>
          </w:p>
        </w:tc>
      </w:tr>
    </w:tbl>
    <w:p w14:paraId="62A3A91B" w14:textId="77777777" w:rsidR="00D028ED" w:rsidRPr="0076566F" w:rsidRDefault="00D028ED" w:rsidP="00D028ED">
      <w:pPr>
        <w:tabs>
          <w:tab w:val="clear" w:pos="1134"/>
          <w:tab w:val="left" w:pos="1418"/>
        </w:tabs>
        <w:spacing w:after="200"/>
        <w:jc w:val="left"/>
        <w:textAlignment w:val="baseline"/>
        <w:rPr>
          <w:rFonts w:eastAsiaTheme="minorEastAsia" w:cstheme="minorBidi"/>
          <w:szCs w:val="22"/>
          <w:lang w:val="es-ES" w:eastAsia="zh-CN"/>
        </w:rPr>
      </w:pPr>
      <w:r w:rsidRPr="003C3066">
        <w:rPr>
          <w:rFonts w:eastAsiaTheme="minorEastAsia" w:cstheme="minorBidi"/>
          <w:noProof/>
          <w:szCs w:val="22"/>
        </w:rPr>
        <w:lastRenderedPageBreak/>
        <w:fldChar w:fldCharType="end"/>
      </w:r>
    </w:p>
    <w:p w14:paraId="3B9B67F2" w14:textId="4927F30D" w:rsidR="00D028ED" w:rsidRPr="00755E85" w:rsidRDefault="00CD322C">
      <w:pPr>
        <w:numPr>
          <w:ilvl w:val="0"/>
          <w:numId w:val="1"/>
        </w:numPr>
        <w:tabs>
          <w:tab w:val="left" w:pos="1701"/>
        </w:tabs>
        <w:spacing w:before="240" w:after="240"/>
        <w:ind w:left="0" w:firstLine="0"/>
        <w:jc w:val="left"/>
        <w:rPr>
          <w:rFonts w:eastAsiaTheme="minorHAnsi" w:cstheme="minorBidi"/>
          <w:lang w:val="es-ES"/>
        </w:rPr>
      </w:pPr>
      <w:r>
        <w:rPr>
          <w:rFonts w:eastAsiaTheme="minorHAnsi" w:cstheme="minorBidi"/>
          <w:lang w:val="es-ES"/>
        </w:rPr>
        <w:t>A</w:t>
      </w:r>
      <w:r w:rsidR="00D028ED" w:rsidRPr="00755E85">
        <w:rPr>
          <w:rFonts w:eastAsiaTheme="minorHAnsi" w:cstheme="minorBidi"/>
          <w:lang w:val="es-ES"/>
        </w:rPr>
        <w:t xml:space="preserve">signación de recursos por </w:t>
      </w:r>
      <w:r w:rsidR="000250BE">
        <w:rPr>
          <w:rFonts w:eastAsiaTheme="minorHAnsi" w:cstheme="minorBidi"/>
          <w:lang w:val="es-ES"/>
        </w:rPr>
        <w:t>objetivos</w:t>
      </w:r>
      <w:r w:rsidR="00D028ED" w:rsidRPr="00755E85">
        <w:rPr>
          <w:rFonts w:eastAsiaTheme="minorHAnsi" w:cstheme="minorBidi"/>
          <w:lang w:val="es-ES"/>
        </w:rPr>
        <w:t xml:space="preserve"> a largo plazo</w:t>
      </w:r>
      <w:r w:rsidR="00552E78">
        <w:rPr>
          <w:rFonts w:eastAsiaTheme="minorHAnsi" w:cstheme="minorBidi"/>
          <w:lang w:val="es-ES"/>
        </w:rPr>
        <w:t xml:space="preserve"> /</w:t>
      </w:r>
      <w:r w:rsidR="00D028ED" w:rsidRPr="00755E85">
        <w:rPr>
          <w:rFonts w:eastAsiaTheme="minorHAnsi" w:cstheme="minorBidi"/>
          <w:lang w:val="es-ES"/>
        </w:rPr>
        <w:t xml:space="preserve"> </w:t>
      </w:r>
      <w:r w:rsidRPr="00755E85">
        <w:rPr>
          <w:rFonts w:eastAsiaTheme="minorHAnsi" w:cstheme="minorBidi"/>
          <w:lang w:val="es-ES"/>
        </w:rPr>
        <w:t>En el cuadro 4 se presenta</w:t>
      </w:r>
      <w:r>
        <w:rPr>
          <w:rFonts w:eastAsiaTheme="minorHAnsi" w:cstheme="minorBidi"/>
          <w:lang w:val="es-ES"/>
        </w:rPr>
        <w:t>n las</w:t>
      </w:r>
      <w:r w:rsidRPr="00755E85">
        <w:rPr>
          <w:rFonts w:eastAsiaTheme="minorHAnsi" w:cstheme="minorBidi"/>
          <w:lang w:val="es-ES"/>
        </w:rPr>
        <w:t xml:space="preserve"> </w:t>
      </w:r>
      <w:r>
        <w:rPr>
          <w:rFonts w:eastAsiaTheme="minorHAnsi" w:cstheme="minorBidi"/>
          <w:lang w:val="es-ES"/>
        </w:rPr>
        <w:t>p</w:t>
      </w:r>
      <w:r w:rsidR="00D028ED" w:rsidRPr="00755E85">
        <w:rPr>
          <w:rFonts w:eastAsiaTheme="minorHAnsi" w:cstheme="minorBidi"/>
          <w:lang w:val="es-ES"/>
        </w:rPr>
        <w:t>artidas de asignación presupuestaria para cada uno de los dos escenarios</w:t>
      </w:r>
    </w:p>
    <w:p w14:paraId="26447276" w14:textId="47B34642" w:rsidR="00D028ED" w:rsidRPr="00755E85" w:rsidRDefault="00D028ED" w:rsidP="00D028ED">
      <w:pPr>
        <w:tabs>
          <w:tab w:val="clear" w:pos="1134"/>
          <w:tab w:val="left" w:pos="1418"/>
        </w:tabs>
        <w:spacing w:after="200"/>
        <w:jc w:val="center"/>
        <w:rPr>
          <w:rFonts w:eastAsiaTheme="minorEastAsia" w:cstheme="minorBidi"/>
          <w:b/>
          <w:i/>
          <w:szCs w:val="22"/>
          <w:lang w:val="es-ES"/>
        </w:rPr>
      </w:pPr>
      <w:r w:rsidRPr="00755E85">
        <w:rPr>
          <w:b/>
          <w:lang w:val="es-ES"/>
        </w:rPr>
        <w:t xml:space="preserve">Cuadro 4.  Objetivos a largo plazo/Partes de </w:t>
      </w:r>
      <w:r w:rsidRPr="00D11CF5">
        <w:rPr>
          <w:b/>
          <w:lang w:val="es-ES"/>
        </w:rPr>
        <w:t>consignación</w:t>
      </w:r>
      <w:r w:rsidRPr="00755E85">
        <w:rPr>
          <w:b/>
          <w:lang w:val="es-ES"/>
        </w:rPr>
        <w:t xml:space="preserve"> </w:t>
      </w:r>
      <w:r w:rsidRPr="00755E85">
        <w:rPr>
          <w:i/>
          <w:lang w:val="es-ES"/>
        </w:rPr>
        <w:t>(Importes en miles de francos suizos)</w:t>
      </w:r>
      <w:r w:rsidRPr="003C3066">
        <w:rPr>
          <w:rFonts w:eastAsiaTheme="minorEastAsia" w:cstheme="minorBidi"/>
          <w:b/>
          <w:szCs w:val="22"/>
          <w:vertAlign w:val="superscript"/>
          <w:lang w:val="es-ES"/>
        </w:rPr>
        <w:footnoteReference w:id="2"/>
      </w:r>
    </w:p>
    <w:p w14:paraId="2AE7E020" w14:textId="77777777" w:rsidR="00D028ED" w:rsidRPr="00755E85" w:rsidRDefault="00D028ED" w:rsidP="00D028ED">
      <w:pPr>
        <w:tabs>
          <w:tab w:val="clear" w:pos="1134"/>
          <w:tab w:val="left" w:pos="1418"/>
        </w:tabs>
        <w:spacing w:after="200"/>
        <w:jc w:val="left"/>
        <w:rPr>
          <w:rFonts w:ascii="Times New Roman" w:eastAsia="MS Mincho" w:hAnsi="Times New Roman" w:cs="Times New Roman"/>
          <w:szCs w:val="22"/>
          <w:lang w:val="es-ES" w:eastAsia="zh-TW"/>
        </w:rPr>
      </w:pPr>
      <w:r w:rsidRPr="00755E85">
        <w:rPr>
          <w:rFonts w:eastAsiaTheme="minorEastAsia" w:cstheme="minorBidi"/>
          <w:szCs w:val="22"/>
          <w:lang w:val="es-ES"/>
        </w:rPr>
        <w:t xml:space="preserve"> </w:t>
      </w:r>
      <w:r w:rsidRPr="003C3066">
        <w:rPr>
          <w:rFonts w:eastAsiaTheme="minorEastAsia" w:cstheme="minorBidi"/>
          <w:noProof/>
          <w:szCs w:val="22"/>
        </w:rPr>
        <w:fldChar w:fldCharType="begin"/>
      </w:r>
      <w:r w:rsidRPr="00755E85">
        <w:rPr>
          <w:rFonts w:eastAsiaTheme="minorEastAsia" w:cstheme="minorBidi"/>
          <w:noProof/>
          <w:szCs w:val="22"/>
          <w:lang w:val="es-ES"/>
        </w:rPr>
        <w:instrText xml:space="preserve"> LINK Excel.Sheet.12 "https://wmoomm.sharepoint.com/sites/GS-Finance/Shared%20Documents/Finance/Budget/2024-2027/TABLE%20FOR%20DOCUMENT.xlsx" "Table 4!R2C1:R13C7" \a \f 4 \h  \* MERGEFORMAT </w:instrText>
      </w:r>
      <w:r w:rsidRPr="003C3066">
        <w:rPr>
          <w:rFonts w:eastAsiaTheme="minorEastAsia" w:cstheme="minorBidi"/>
          <w:noProof/>
          <w:szCs w:val="22"/>
        </w:rPr>
        <w:fldChar w:fldCharType="separate"/>
      </w:r>
    </w:p>
    <w:tbl>
      <w:tblPr>
        <w:tblW w:w="4931" w:type="pct"/>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6206"/>
        <w:gridCol w:w="139"/>
        <w:gridCol w:w="977"/>
        <w:gridCol w:w="1146"/>
        <w:gridCol w:w="1038"/>
      </w:tblGrid>
      <w:tr w:rsidR="00D028ED" w:rsidRPr="003C3066" w14:paraId="3793AEDA" w14:textId="77777777" w:rsidTr="00642968">
        <w:trPr>
          <w:trHeight w:val="315"/>
        </w:trPr>
        <w:tc>
          <w:tcPr>
            <w:tcW w:w="3337" w:type="pct"/>
            <w:gridSpan w:val="2"/>
            <w:vMerge w:val="restart"/>
            <w:shd w:val="clear" w:color="auto" w:fill="F2F2F2" w:themeFill="background1" w:themeFillShade="F2"/>
            <w:vAlign w:val="center"/>
            <w:hideMark/>
          </w:tcPr>
          <w:p w14:paraId="1C8DFB80" w14:textId="77777777" w:rsidR="00D028ED" w:rsidRPr="003C3066" w:rsidRDefault="00D028ED" w:rsidP="00D028ED">
            <w:pPr>
              <w:tabs>
                <w:tab w:val="clear" w:pos="1134"/>
                <w:tab w:val="left" w:pos="1418"/>
              </w:tabs>
              <w:spacing w:before="100" w:after="100"/>
              <w:ind w:firstLineChars="200" w:firstLine="400"/>
              <w:jc w:val="left"/>
              <w:rPr>
                <w:rFonts w:eastAsia="Times New Roman" w:cs="Calibri"/>
                <w:color w:val="000000"/>
                <w:sz w:val="18"/>
                <w:szCs w:val="18"/>
              </w:rPr>
            </w:pPr>
            <w:r>
              <w:t xml:space="preserve">Partidas de asignación presupuestaria </w:t>
            </w:r>
          </w:p>
        </w:tc>
        <w:tc>
          <w:tcPr>
            <w:tcW w:w="1663" w:type="pct"/>
            <w:gridSpan w:val="3"/>
            <w:shd w:val="clear" w:color="auto" w:fill="F2F2F2" w:themeFill="background1" w:themeFillShade="F2"/>
            <w:noWrap/>
            <w:hideMark/>
          </w:tcPr>
          <w:p w14:paraId="0DF6291B" w14:textId="77777777" w:rsidR="00D028ED" w:rsidRPr="003C3066" w:rsidRDefault="00D028ED" w:rsidP="00D028ED">
            <w:pPr>
              <w:tabs>
                <w:tab w:val="clear" w:pos="1134"/>
                <w:tab w:val="left" w:pos="1418"/>
              </w:tabs>
              <w:spacing w:before="100" w:after="100"/>
              <w:jc w:val="center"/>
              <w:rPr>
                <w:rFonts w:eastAsia="Times New Roman" w:cs="Calibri"/>
                <w:color w:val="000000"/>
                <w:sz w:val="18"/>
                <w:szCs w:val="18"/>
                <w:lang w:eastAsia="zh-CN"/>
              </w:rPr>
            </w:pPr>
            <w:r w:rsidRPr="003C3066">
              <w:rPr>
                <w:rFonts w:eastAsia="Times New Roman" w:cs="Calibri"/>
                <w:color w:val="000000"/>
                <w:sz w:val="18"/>
                <w:szCs w:val="18"/>
              </w:rPr>
              <w:t>Escenarios</w:t>
            </w:r>
          </w:p>
        </w:tc>
      </w:tr>
      <w:tr w:rsidR="00D028ED" w:rsidRPr="003C3066" w14:paraId="50A18265" w14:textId="77777777" w:rsidTr="00642968">
        <w:trPr>
          <w:trHeight w:val="250"/>
        </w:trPr>
        <w:tc>
          <w:tcPr>
            <w:tcW w:w="3337" w:type="pct"/>
            <w:gridSpan w:val="2"/>
            <w:vMerge/>
            <w:shd w:val="clear" w:color="auto" w:fill="F2F2F2" w:themeFill="background1" w:themeFillShade="F2"/>
            <w:vAlign w:val="center"/>
            <w:hideMark/>
          </w:tcPr>
          <w:p w14:paraId="37A7A3F5" w14:textId="77777777" w:rsidR="00D028ED" w:rsidRPr="003C3066" w:rsidRDefault="00D028ED" w:rsidP="00D028ED">
            <w:pPr>
              <w:tabs>
                <w:tab w:val="clear" w:pos="1134"/>
                <w:tab w:val="left" w:pos="1418"/>
              </w:tabs>
              <w:spacing w:before="100" w:after="100"/>
              <w:jc w:val="left"/>
              <w:rPr>
                <w:rFonts w:eastAsia="Times New Roman" w:cs="Calibri"/>
                <w:color w:val="000000"/>
                <w:sz w:val="18"/>
                <w:szCs w:val="18"/>
                <w:lang w:eastAsia="zh-CN"/>
              </w:rPr>
            </w:pPr>
          </w:p>
        </w:tc>
        <w:tc>
          <w:tcPr>
            <w:tcW w:w="514" w:type="pct"/>
            <w:shd w:val="clear" w:color="auto" w:fill="F2F2F2" w:themeFill="background1" w:themeFillShade="F2"/>
            <w:vAlign w:val="center"/>
            <w:hideMark/>
          </w:tcPr>
          <w:p w14:paraId="3549C1C6" w14:textId="77777777" w:rsidR="00D028ED" w:rsidRPr="003C3066" w:rsidRDefault="00D028ED" w:rsidP="00D028ED">
            <w:pPr>
              <w:tabs>
                <w:tab w:val="clear" w:pos="1134"/>
                <w:tab w:val="left" w:pos="1418"/>
              </w:tabs>
              <w:spacing w:before="100" w:after="100"/>
              <w:jc w:val="center"/>
              <w:rPr>
                <w:rFonts w:eastAsia="Times New Roman" w:cs="Calibri"/>
                <w:color w:val="000000"/>
                <w:sz w:val="18"/>
                <w:szCs w:val="18"/>
                <w:lang w:eastAsia="zh-CN"/>
              </w:rPr>
            </w:pPr>
            <w:r w:rsidRPr="003C3066">
              <w:rPr>
                <w:rFonts w:eastAsia="Times New Roman" w:cs="Calibri"/>
                <w:color w:val="000000"/>
                <w:sz w:val="18"/>
                <w:szCs w:val="18"/>
              </w:rPr>
              <w:t>Propuesta del Secretario General</w:t>
            </w:r>
          </w:p>
        </w:tc>
        <w:tc>
          <w:tcPr>
            <w:tcW w:w="603" w:type="pct"/>
            <w:shd w:val="clear" w:color="auto" w:fill="F2F2F2" w:themeFill="background1" w:themeFillShade="F2"/>
            <w:noWrap/>
            <w:vAlign w:val="center"/>
            <w:hideMark/>
          </w:tcPr>
          <w:p w14:paraId="699BA59D" w14:textId="77777777" w:rsidR="00D028ED" w:rsidRPr="003C3066" w:rsidRDefault="00D028ED" w:rsidP="00D028ED">
            <w:pPr>
              <w:tabs>
                <w:tab w:val="clear" w:pos="1134"/>
                <w:tab w:val="left" w:pos="1418"/>
              </w:tabs>
              <w:spacing w:before="100" w:after="100"/>
              <w:jc w:val="center"/>
              <w:rPr>
                <w:rFonts w:eastAsia="Times New Roman" w:cs="Calibri"/>
                <w:color w:val="000000"/>
                <w:sz w:val="18"/>
                <w:szCs w:val="18"/>
                <w:lang w:eastAsia="zh-CN"/>
              </w:rPr>
            </w:pPr>
            <w:r w:rsidRPr="003C3066">
              <w:rPr>
                <w:rFonts w:eastAsia="Times New Roman" w:cs="Calibri"/>
                <w:color w:val="000000"/>
                <w:sz w:val="18"/>
                <w:szCs w:val="18"/>
              </w:rPr>
              <w:t>Crecimiento nominal nominal (ZNG)</w:t>
            </w:r>
          </w:p>
        </w:tc>
        <w:tc>
          <w:tcPr>
            <w:tcW w:w="546" w:type="pct"/>
            <w:shd w:val="clear" w:color="auto" w:fill="F2F2F2" w:themeFill="background1" w:themeFillShade="F2"/>
            <w:vAlign w:val="center"/>
            <w:hideMark/>
          </w:tcPr>
          <w:p w14:paraId="132D6C54" w14:textId="77777777" w:rsidR="00D028ED" w:rsidRPr="003C3066" w:rsidRDefault="00D028ED" w:rsidP="00D028ED">
            <w:pPr>
              <w:tabs>
                <w:tab w:val="clear" w:pos="1134"/>
                <w:tab w:val="left" w:pos="1418"/>
              </w:tabs>
              <w:spacing w:before="100" w:after="100"/>
              <w:jc w:val="center"/>
              <w:rPr>
                <w:rFonts w:eastAsia="Times New Roman" w:cs="Calibri"/>
                <w:color w:val="000000"/>
                <w:sz w:val="18"/>
                <w:szCs w:val="18"/>
              </w:rPr>
            </w:pPr>
            <w:r>
              <w:t>Varianza</w:t>
            </w:r>
          </w:p>
        </w:tc>
      </w:tr>
      <w:tr w:rsidR="00D028ED" w:rsidRPr="003C3066" w14:paraId="1EC2FDA5" w14:textId="77777777" w:rsidTr="00642968">
        <w:trPr>
          <w:trHeight w:val="240"/>
        </w:trPr>
        <w:tc>
          <w:tcPr>
            <w:tcW w:w="3337" w:type="pct"/>
            <w:gridSpan w:val="2"/>
            <w:shd w:val="clear" w:color="000000" w:fill="FFFFFF"/>
            <w:noWrap/>
            <w:vAlign w:val="center"/>
            <w:hideMark/>
          </w:tcPr>
          <w:p w14:paraId="5F143927" w14:textId="77777777" w:rsidR="00D028ED" w:rsidRPr="003C3066" w:rsidRDefault="00D028ED" w:rsidP="00D028ED">
            <w:pPr>
              <w:tabs>
                <w:tab w:val="clear" w:pos="1134"/>
                <w:tab w:val="left" w:pos="1418"/>
              </w:tabs>
              <w:spacing w:before="100" w:after="100"/>
              <w:jc w:val="left"/>
              <w:rPr>
                <w:rFonts w:eastAsia="Times New Roman" w:cs="Calibri"/>
                <w:b/>
                <w:bCs/>
                <w:color w:val="000000"/>
                <w:sz w:val="18"/>
                <w:szCs w:val="18"/>
                <w:lang w:eastAsia="zh-CN"/>
              </w:rPr>
            </w:pPr>
            <w:r w:rsidRPr="003C3066">
              <w:rPr>
                <w:rFonts w:eastAsia="Times New Roman" w:cs="Calibri"/>
                <w:b/>
                <w:color w:val="000000"/>
                <w:sz w:val="18"/>
                <w:szCs w:val="18"/>
              </w:rPr>
              <w:t> </w:t>
            </w:r>
          </w:p>
        </w:tc>
        <w:tc>
          <w:tcPr>
            <w:tcW w:w="514" w:type="pct"/>
            <w:shd w:val="clear" w:color="000000" w:fill="FFFFFF"/>
            <w:noWrap/>
            <w:vAlign w:val="center"/>
            <w:hideMark/>
          </w:tcPr>
          <w:p w14:paraId="25E16C8E" w14:textId="77777777" w:rsidR="00D028ED" w:rsidRPr="003C3066" w:rsidRDefault="00D028ED" w:rsidP="00D028ED">
            <w:pPr>
              <w:tabs>
                <w:tab w:val="clear" w:pos="1134"/>
                <w:tab w:val="left" w:pos="1418"/>
              </w:tabs>
              <w:spacing w:before="100" w:after="100"/>
              <w:jc w:val="right"/>
              <w:rPr>
                <w:rFonts w:eastAsia="Times New Roman" w:cs="Calibri"/>
                <w:b/>
                <w:bCs/>
                <w:color w:val="000000"/>
                <w:sz w:val="18"/>
                <w:szCs w:val="18"/>
                <w:lang w:eastAsia="zh-CN"/>
              </w:rPr>
            </w:pPr>
            <w:r w:rsidRPr="003C3066">
              <w:rPr>
                <w:rFonts w:eastAsia="Times New Roman" w:cs="Calibri"/>
                <w:b/>
                <w:color w:val="000000"/>
                <w:sz w:val="18"/>
                <w:szCs w:val="18"/>
              </w:rPr>
              <w:t> </w:t>
            </w:r>
          </w:p>
        </w:tc>
        <w:tc>
          <w:tcPr>
            <w:tcW w:w="603" w:type="pct"/>
            <w:shd w:val="clear" w:color="000000" w:fill="FFFFFF"/>
            <w:noWrap/>
            <w:vAlign w:val="bottom"/>
            <w:hideMark/>
          </w:tcPr>
          <w:p w14:paraId="540E3FD4" w14:textId="77777777" w:rsidR="00D028ED" w:rsidRPr="003C3066" w:rsidRDefault="00D028ED" w:rsidP="00D028ED">
            <w:pPr>
              <w:tabs>
                <w:tab w:val="clear" w:pos="1134"/>
                <w:tab w:val="left" w:pos="1418"/>
              </w:tabs>
              <w:spacing w:before="100" w:after="100"/>
              <w:ind w:left="-153"/>
              <w:jc w:val="left"/>
              <w:rPr>
                <w:rFonts w:eastAsia="Times New Roman" w:cs="Calibri"/>
                <w:color w:val="000000"/>
                <w:sz w:val="18"/>
                <w:szCs w:val="18"/>
                <w:lang w:eastAsia="zh-CN"/>
              </w:rPr>
            </w:pPr>
            <w:r w:rsidRPr="003C3066">
              <w:rPr>
                <w:rFonts w:eastAsia="Times New Roman" w:cs="Calibri"/>
                <w:color w:val="000000"/>
                <w:sz w:val="18"/>
                <w:szCs w:val="18"/>
              </w:rPr>
              <w:t> </w:t>
            </w:r>
          </w:p>
        </w:tc>
        <w:tc>
          <w:tcPr>
            <w:tcW w:w="546" w:type="pct"/>
            <w:shd w:val="clear" w:color="000000" w:fill="FFFFFF"/>
            <w:noWrap/>
            <w:vAlign w:val="bottom"/>
            <w:hideMark/>
          </w:tcPr>
          <w:p w14:paraId="41B3835A" w14:textId="77777777" w:rsidR="00D028ED" w:rsidRPr="003C3066" w:rsidRDefault="00D028ED" w:rsidP="00D028ED">
            <w:pPr>
              <w:tabs>
                <w:tab w:val="clear" w:pos="1134"/>
                <w:tab w:val="left" w:pos="1418"/>
              </w:tabs>
              <w:spacing w:before="100" w:after="100"/>
              <w:jc w:val="left"/>
              <w:rPr>
                <w:rFonts w:eastAsia="Times New Roman" w:cs="Calibri"/>
                <w:color w:val="000000"/>
                <w:sz w:val="18"/>
                <w:szCs w:val="18"/>
                <w:lang w:eastAsia="zh-CN"/>
              </w:rPr>
            </w:pPr>
            <w:r w:rsidRPr="003C3066">
              <w:rPr>
                <w:rFonts w:eastAsia="Times New Roman" w:cs="Calibri"/>
                <w:color w:val="000000"/>
                <w:sz w:val="18"/>
                <w:szCs w:val="18"/>
              </w:rPr>
              <w:t> </w:t>
            </w:r>
          </w:p>
        </w:tc>
      </w:tr>
      <w:tr w:rsidR="00D028ED" w:rsidRPr="003C3066" w14:paraId="0842A9BA" w14:textId="77777777" w:rsidTr="00642968">
        <w:trPr>
          <w:trHeight w:val="300"/>
        </w:trPr>
        <w:tc>
          <w:tcPr>
            <w:tcW w:w="3264" w:type="pct"/>
            <w:shd w:val="clear" w:color="000000" w:fill="FFFFFF"/>
            <w:noWrap/>
            <w:vAlign w:val="center"/>
            <w:hideMark/>
          </w:tcPr>
          <w:p w14:paraId="398976A3" w14:textId="756164D7" w:rsidR="00D028ED" w:rsidRPr="0076566F" w:rsidRDefault="00D028ED" w:rsidP="00D028ED">
            <w:pPr>
              <w:tabs>
                <w:tab w:val="clear" w:pos="1134"/>
                <w:tab w:val="left" w:pos="1418"/>
              </w:tabs>
              <w:spacing w:before="100" w:after="100"/>
              <w:jc w:val="left"/>
              <w:rPr>
                <w:rFonts w:eastAsia="Times New Roman" w:cs="Calibri"/>
                <w:color w:val="222B35"/>
                <w:sz w:val="18"/>
                <w:szCs w:val="18"/>
                <w:lang w:val="es-ES"/>
              </w:rPr>
            </w:pPr>
            <w:r w:rsidRPr="0076566F">
              <w:rPr>
                <w:lang w:val="es-ES"/>
              </w:rPr>
              <w:t xml:space="preserve">Partida I. </w:t>
            </w:r>
            <w:r w:rsidR="00246054">
              <w:rPr>
                <w:lang w:val="es-ES"/>
              </w:rPr>
              <w:t>Objetivo</w:t>
            </w:r>
            <w:r w:rsidRPr="0076566F">
              <w:rPr>
                <w:lang w:val="es-ES"/>
              </w:rPr>
              <w:t xml:space="preserve"> a largo plazo 1. Mejora de la atención de las necesidades de la sociedad</w:t>
            </w:r>
          </w:p>
        </w:tc>
        <w:tc>
          <w:tcPr>
            <w:tcW w:w="587" w:type="pct"/>
            <w:gridSpan w:val="2"/>
            <w:shd w:val="clear" w:color="000000" w:fill="FFFFFF"/>
            <w:noWrap/>
            <w:vAlign w:val="center"/>
            <w:hideMark/>
          </w:tcPr>
          <w:p w14:paraId="699920EE" w14:textId="4FF17E1A"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59</w:t>
            </w:r>
            <w:r w:rsidR="00246054">
              <w:t xml:space="preserve"> </w:t>
            </w:r>
            <w:r>
              <w:t xml:space="preserve">596,1 </w:t>
            </w:r>
          </w:p>
        </w:tc>
        <w:tc>
          <w:tcPr>
            <w:tcW w:w="603" w:type="pct"/>
            <w:shd w:val="clear" w:color="000000" w:fill="FFFFFF"/>
            <w:noWrap/>
            <w:vAlign w:val="center"/>
            <w:hideMark/>
          </w:tcPr>
          <w:p w14:paraId="329142DF" w14:textId="7B7CC675"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54</w:t>
            </w:r>
            <w:r w:rsidR="00246054">
              <w:t xml:space="preserve"> </w:t>
            </w:r>
            <w:r>
              <w:t xml:space="preserve">373,8 </w:t>
            </w:r>
          </w:p>
        </w:tc>
        <w:tc>
          <w:tcPr>
            <w:tcW w:w="546" w:type="pct"/>
            <w:shd w:val="clear" w:color="000000" w:fill="FFFFFF"/>
            <w:noWrap/>
            <w:vAlign w:val="center"/>
            <w:hideMark/>
          </w:tcPr>
          <w:p w14:paraId="09BF3AE2" w14:textId="4A8F0FC2"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rPr>
            </w:pPr>
            <w:r>
              <w:t>5</w:t>
            </w:r>
            <w:r w:rsidR="00246054">
              <w:t xml:space="preserve"> </w:t>
            </w:r>
            <w:r>
              <w:t xml:space="preserve">222,3 </w:t>
            </w:r>
          </w:p>
        </w:tc>
      </w:tr>
      <w:tr w:rsidR="00D028ED" w:rsidRPr="003C3066" w14:paraId="683F4F8F" w14:textId="77777777" w:rsidTr="00642968">
        <w:trPr>
          <w:trHeight w:val="300"/>
        </w:trPr>
        <w:tc>
          <w:tcPr>
            <w:tcW w:w="3264" w:type="pct"/>
            <w:shd w:val="clear" w:color="000000" w:fill="FFFFFF"/>
            <w:noWrap/>
            <w:vAlign w:val="center"/>
            <w:hideMark/>
          </w:tcPr>
          <w:p w14:paraId="0075EBD6" w14:textId="41025786" w:rsidR="00D028ED" w:rsidRPr="0076566F" w:rsidRDefault="000A7389" w:rsidP="00D028ED">
            <w:pPr>
              <w:tabs>
                <w:tab w:val="clear" w:pos="1134"/>
                <w:tab w:val="left" w:pos="1418"/>
              </w:tabs>
              <w:spacing w:before="100" w:after="100"/>
              <w:jc w:val="left"/>
              <w:rPr>
                <w:rFonts w:eastAsia="Times New Roman" w:cs="Calibri"/>
                <w:color w:val="222B35"/>
                <w:sz w:val="18"/>
                <w:szCs w:val="18"/>
                <w:lang w:val="es-ES"/>
              </w:rPr>
            </w:pPr>
            <w:r>
              <w:rPr>
                <w:lang w:val="es-ES"/>
              </w:rPr>
              <w:t>Partida</w:t>
            </w:r>
            <w:r w:rsidR="00D028ED" w:rsidRPr="0076566F">
              <w:rPr>
                <w:lang w:val="es-ES"/>
              </w:rPr>
              <w:t xml:space="preserve"> II. </w:t>
            </w:r>
            <w:r w:rsidR="00246054">
              <w:rPr>
                <w:lang w:val="es-ES"/>
              </w:rPr>
              <w:t>Objetivo</w:t>
            </w:r>
            <w:r w:rsidR="00D028ED" w:rsidRPr="0076566F">
              <w:rPr>
                <w:lang w:val="es-ES"/>
              </w:rPr>
              <w:t xml:space="preserve"> a largo plazo 2. Mejora de las observaciones y las predicciones del sistema Tierra</w:t>
            </w:r>
          </w:p>
        </w:tc>
        <w:tc>
          <w:tcPr>
            <w:tcW w:w="587" w:type="pct"/>
            <w:gridSpan w:val="2"/>
            <w:shd w:val="clear" w:color="000000" w:fill="FFFFFF"/>
            <w:noWrap/>
            <w:vAlign w:val="center"/>
            <w:hideMark/>
          </w:tcPr>
          <w:p w14:paraId="46E52B1C" w14:textId="0DFA9E7F"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54</w:t>
            </w:r>
            <w:r w:rsidR="00246054">
              <w:t xml:space="preserve"> </w:t>
            </w:r>
            <w:r>
              <w:t xml:space="preserve">339,0 </w:t>
            </w:r>
          </w:p>
        </w:tc>
        <w:tc>
          <w:tcPr>
            <w:tcW w:w="603" w:type="pct"/>
            <w:shd w:val="clear" w:color="000000" w:fill="FFFFFF"/>
            <w:noWrap/>
            <w:vAlign w:val="center"/>
            <w:hideMark/>
          </w:tcPr>
          <w:p w14:paraId="60B3BE1E" w14:textId="0C3B6855"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49</w:t>
            </w:r>
            <w:r w:rsidR="00246054">
              <w:t xml:space="preserve"> </w:t>
            </w:r>
            <w:r>
              <w:t xml:space="preserve">025,6 </w:t>
            </w:r>
          </w:p>
        </w:tc>
        <w:tc>
          <w:tcPr>
            <w:tcW w:w="546" w:type="pct"/>
            <w:shd w:val="clear" w:color="000000" w:fill="FFFFFF"/>
            <w:noWrap/>
            <w:vAlign w:val="center"/>
            <w:hideMark/>
          </w:tcPr>
          <w:p w14:paraId="6A916E3F" w14:textId="00260A5A"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rPr>
            </w:pPr>
            <w:r>
              <w:t>5</w:t>
            </w:r>
            <w:r w:rsidR="00246054">
              <w:t xml:space="preserve"> </w:t>
            </w:r>
            <w:r>
              <w:t xml:space="preserve">313,4 </w:t>
            </w:r>
          </w:p>
        </w:tc>
      </w:tr>
      <w:tr w:rsidR="00D028ED" w:rsidRPr="003C3066" w14:paraId="0AF738AE" w14:textId="77777777" w:rsidTr="00642968">
        <w:trPr>
          <w:trHeight w:val="300"/>
        </w:trPr>
        <w:tc>
          <w:tcPr>
            <w:tcW w:w="3264" w:type="pct"/>
            <w:shd w:val="clear" w:color="000000" w:fill="FFFFFF"/>
            <w:noWrap/>
            <w:vAlign w:val="center"/>
            <w:hideMark/>
          </w:tcPr>
          <w:p w14:paraId="5FDC17A2" w14:textId="3B1080CC" w:rsidR="00D028ED" w:rsidRPr="00246054" w:rsidRDefault="000A7389" w:rsidP="00D028ED">
            <w:pPr>
              <w:tabs>
                <w:tab w:val="clear" w:pos="1134"/>
                <w:tab w:val="left" w:pos="1418"/>
              </w:tabs>
              <w:spacing w:before="100" w:after="100"/>
              <w:jc w:val="left"/>
              <w:rPr>
                <w:rFonts w:eastAsia="Times New Roman" w:cs="Calibri"/>
                <w:color w:val="222B35"/>
                <w:sz w:val="18"/>
                <w:szCs w:val="18"/>
                <w:lang w:val="es-ES"/>
              </w:rPr>
            </w:pPr>
            <w:r>
              <w:rPr>
                <w:lang w:val="es-ES"/>
              </w:rPr>
              <w:t>Partida</w:t>
            </w:r>
            <w:r w:rsidRPr="0076566F">
              <w:rPr>
                <w:lang w:val="es-ES"/>
              </w:rPr>
              <w:t xml:space="preserve"> </w:t>
            </w:r>
            <w:r w:rsidR="00D028ED" w:rsidRPr="0076566F">
              <w:rPr>
                <w:lang w:val="es-ES"/>
              </w:rPr>
              <w:t xml:space="preserve">III. </w:t>
            </w:r>
            <w:r w:rsidR="00246054">
              <w:rPr>
                <w:lang w:val="es-ES"/>
              </w:rPr>
              <w:t>Objetivo</w:t>
            </w:r>
            <w:r w:rsidR="00D028ED" w:rsidRPr="0076566F">
              <w:rPr>
                <w:lang w:val="es-ES"/>
              </w:rPr>
              <w:t xml:space="preserve"> a largo plazo 3. </w:t>
            </w:r>
            <w:r w:rsidR="00D028ED" w:rsidRPr="00246054">
              <w:rPr>
                <w:lang w:val="es-ES"/>
              </w:rPr>
              <w:t>Promoción de investigaciones específicas</w:t>
            </w:r>
          </w:p>
        </w:tc>
        <w:tc>
          <w:tcPr>
            <w:tcW w:w="587" w:type="pct"/>
            <w:gridSpan w:val="2"/>
            <w:shd w:val="clear" w:color="000000" w:fill="FFFFFF"/>
            <w:noWrap/>
            <w:vAlign w:val="center"/>
            <w:hideMark/>
          </w:tcPr>
          <w:p w14:paraId="19839744" w14:textId="7E7E2499"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27</w:t>
            </w:r>
            <w:r w:rsidR="00246054">
              <w:t xml:space="preserve"> </w:t>
            </w:r>
            <w:r>
              <w:t xml:space="preserve">584,1 </w:t>
            </w:r>
          </w:p>
        </w:tc>
        <w:tc>
          <w:tcPr>
            <w:tcW w:w="603" w:type="pct"/>
            <w:shd w:val="clear" w:color="000000" w:fill="FFFFFF"/>
            <w:noWrap/>
            <w:vAlign w:val="center"/>
            <w:hideMark/>
          </w:tcPr>
          <w:p w14:paraId="684ED761" w14:textId="16C59338"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25</w:t>
            </w:r>
            <w:r w:rsidR="00246054">
              <w:t xml:space="preserve"> </w:t>
            </w:r>
            <w:r>
              <w:t xml:space="preserve">696,0 </w:t>
            </w:r>
          </w:p>
        </w:tc>
        <w:tc>
          <w:tcPr>
            <w:tcW w:w="546" w:type="pct"/>
            <w:shd w:val="clear" w:color="000000" w:fill="FFFFFF"/>
            <w:noWrap/>
            <w:vAlign w:val="center"/>
            <w:hideMark/>
          </w:tcPr>
          <w:p w14:paraId="33A98F9D" w14:textId="012E95B6"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rPr>
            </w:pPr>
            <w:r>
              <w:t>1</w:t>
            </w:r>
            <w:r w:rsidR="00246054">
              <w:t xml:space="preserve"> </w:t>
            </w:r>
            <w:r>
              <w:t xml:space="preserve">888,1 </w:t>
            </w:r>
          </w:p>
        </w:tc>
      </w:tr>
      <w:tr w:rsidR="00D028ED" w:rsidRPr="003C3066" w14:paraId="5F2C3C57" w14:textId="77777777" w:rsidTr="00642968">
        <w:trPr>
          <w:trHeight w:val="300"/>
        </w:trPr>
        <w:tc>
          <w:tcPr>
            <w:tcW w:w="3264" w:type="pct"/>
            <w:shd w:val="clear" w:color="000000" w:fill="FFFFFF"/>
            <w:noWrap/>
            <w:vAlign w:val="center"/>
            <w:hideMark/>
          </w:tcPr>
          <w:p w14:paraId="494618FE" w14:textId="7BF427EF" w:rsidR="00D028ED" w:rsidRPr="0076566F" w:rsidRDefault="000A7389" w:rsidP="00D028ED">
            <w:pPr>
              <w:tabs>
                <w:tab w:val="clear" w:pos="1134"/>
                <w:tab w:val="left" w:pos="1418"/>
              </w:tabs>
              <w:spacing w:before="100" w:after="100"/>
              <w:jc w:val="left"/>
              <w:rPr>
                <w:rFonts w:eastAsia="Times New Roman" w:cs="Calibri"/>
                <w:color w:val="222B35"/>
                <w:sz w:val="18"/>
                <w:szCs w:val="18"/>
                <w:lang w:val="es-ES"/>
              </w:rPr>
            </w:pPr>
            <w:r>
              <w:rPr>
                <w:lang w:val="es-ES"/>
              </w:rPr>
              <w:t>Partida</w:t>
            </w:r>
            <w:r w:rsidRPr="0076566F">
              <w:rPr>
                <w:lang w:val="es-ES"/>
              </w:rPr>
              <w:t xml:space="preserve"> </w:t>
            </w:r>
            <w:r w:rsidR="00D028ED" w:rsidRPr="0076566F">
              <w:rPr>
                <w:lang w:val="es-ES"/>
              </w:rPr>
              <w:t xml:space="preserve">IV. </w:t>
            </w:r>
            <w:r w:rsidR="00246054">
              <w:rPr>
                <w:lang w:val="es-ES"/>
              </w:rPr>
              <w:t>Objetivo</w:t>
            </w:r>
            <w:r w:rsidR="00D028ED" w:rsidRPr="0076566F">
              <w:rPr>
                <w:lang w:val="es-ES"/>
              </w:rPr>
              <w:t xml:space="preserve"> a largo plazo 4. Eliminación de las deficiencias de capacidad</w:t>
            </w:r>
          </w:p>
        </w:tc>
        <w:tc>
          <w:tcPr>
            <w:tcW w:w="587" w:type="pct"/>
            <w:gridSpan w:val="2"/>
            <w:shd w:val="clear" w:color="000000" w:fill="FFFFFF"/>
            <w:noWrap/>
            <w:vAlign w:val="center"/>
            <w:hideMark/>
          </w:tcPr>
          <w:p w14:paraId="2139A171" w14:textId="653E5EDD"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66</w:t>
            </w:r>
            <w:r w:rsidR="00246054">
              <w:t xml:space="preserve"> </w:t>
            </w:r>
            <w:r>
              <w:t xml:space="preserve">468,3 </w:t>
            </w:r>
          </w:p>
        </w:tc>
        <w:tc>
          <w:tcPr>
            <w:tcW w:w="603" w:type="pct"/>
            <w:shd w:val="clear" w:color="000000" w:fill="FFFFFF"/>
            <w:noWrap/>
            <w:vAlign w:val="center"/>
            <w:hideMark/>
          </w:tcPr>
          <w:p w14:paraId="3AF3255F" w14:textId="7AAD2F61"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61</w:t>
            </w:r>
            <w:r w:rsidR="00246054">
              <w:t xml:space="preserve"> </w:t>
            </w:r>
            <w:r>
              <w:t xml:space="preserve">014,1 </w:t>
            </w:r>
          </w:p>
        </w:tc>
        <w:tc>
          <w:tcPr>
            <w:tcW w:w="546" w:type="pct"/>
            <w:shd w:val="clear" w:color="000000" w:fill="FFFFFF"/>
            <w:noWrap/>
            <w:vAlign w:val="center"/>
            <w:hideMark/>
          </w:tcPr>
          <w:p w14:paraId="1CED85A1" w14:textId="45F11187"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rPr>
            </w:pPr>
            <w:r>
              <w:t>5</w:t>
            </w:r>
            <w:r w:rsidR="00246054">
              <w:t xml:space="preserve"> </w:t>
            </w:r>
            <w:r>
              <w:t xml:space="preserve">454,2 </w:t>
            </w:r>
          </w:p>
        </w:tc>
      </w:tr>
      <w:tr w:rsidR="00D028ED" w:rsidRPr="003C3066" w14:paraId="77E31C7B" w14:textId="77777777" w:rsidTr="00642968">
        <w:trPr>
          <w:trHeight w:val="300"/>
        </w:trPr>
        <w:tc>
          <w:tcPr>
            <w:tcW w:w="3264" w:type="pct"/>
            <w:shd w:val="clear" w:color="000000" w:fill="FFFFFF"/>
            <w:noWrap/>
            <w:vAlign w:val="center"/>
            <w:hideMark/>
          </w:tcPr>
          <w:p w14:paraId="3F13C10E" w14:textId="3B0A04AE" w:rsidR="00D028ED" w:rsidRPr="0076566F" w:rsidRDefault="00D028ED" w:rsidP="00D028ED">
            <w:pPr>
              <w:tabs>
                <w:tab w:val="clear" w:pos="1134"/>
                <w:tab w:val="left" w:pos="1418"/>
              </w:tabs>
              <w:spacing w:before="100" w:after="100"/>
              <w:jc w:val="left"/>
              <w:rPr>
                <w:rFonts w:eastAsia="Times New Roman" w:cs="Calibri"/>
                <w:color w:val="222B35"/>
                <w:sz w:val="18"/>
                <w:szCs w:val="18"/>
                <w:lang w:val="es-ES"/>
              </w:rPr>
            </w:pPr>
            <w:r w:rsidRPr="0076566F">
              <w:rPr>
                <w:lang w:val="es-ES"/>
              </w:rPr>
              <w:t xml:space="preserve">Partida V. </w:t>
            </w:r>
            <w:r w:rsidR="00246054">
              <w:rPr>
                <w:lang w:val="es-ES"/>
              </w:rPr>
              <w:t>Objetivo</w:t>
            </w:r>
            <w:r w:rsidRPr="0076566F">
              <w:rPr>
                <w:lang w:val="es-ES"/>
              </w:rPr>
              <w:t xml:space="preserve"> a largo plazo 5. Reorientación estratégica de la estructura y los programas de la Organización Meteorológica Mundial</w:t>
            </w:r>
          </w:p>
        </w:tc>
        <w:tc>
          <w:tcPr>
            <w:tcW w:w="587" w:type="pct"/>
            <w:gridSpan w:val="2"/>
            <w:shd w:val="clear" w:color="000000" w:fill="FFFFFF"/>
            <w:noWrap/>
            <w:vAlign w:val="center"/>
            <w:hideMark/>
          </w:tcPr>
          <w:p w14:paraId="73E1FBB1" w14:textId="7024021C"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4</w:t>
            </w:r>
            <w:r w:rsidR="00246054">
              <w:t xml:space="preserve"> </w:t>
            </w:r>
            <w:r>
              <w:t xml:space="preserve">995,9 </w:t>
            </w:r>
          </w:p>
        </w:tc>
        <w:tc>
          <w:tcPr>
            <w:tcW w:w="603" w:type="pct"/>
            <w:shd w:val="clear" w:color="000000" w:fill="FFFFFF"/>
            <w:noWrap/>
            <w:vAlign w:val="center"/>
            <w:hideMark/>
          </w:tcPr>
          <w:p w14:paraId="3F81ABB0" w14:textId="1BDF638F"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4</w:t>
            </w:r>
            <w:r w:rsidR="00246054">
              <w:t xml:space="preserve"> </w:t>
            </w:r>
            <w:r>
              <w:t xml:space="preserve">749,0 </w:t>
            </w:r>
          </w:p>
        </w:tc>
        <w:tc>
          <w:tcPr>
            <w:tcW w:w="546" w:type="pct"/>
            <w:shd w:val="clear" w:color="000000" w:fill="FFFFFF"/>
            <w:noWrap/>
            <w:vAlign w:val="center"/>
            <w:hideMark/>
          </w:tcPr>
          <w:p w14:paraId="6CA45879" w14:textId="77777777"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rPr>
            </w:pPr>
            <w:r>
              <w:t>246,9</w:t>
            </w:r>
          </w:p>
        </w:tc>
      </w:tr>
      <w:tr w:rsidR="00D028ED" w:rsidRPr="003C3066" w14:paraId="279F6201" w14:textId="77777777" w:rsidTr="00642968">
        <w:trPr>
          <w:trHeight w:val="300"/>
        </w:trPr>
        <w:tc>
          <w:tcPr>
            <w:tcW w:w="3264" w:type="pct"/>
            <w:shd w:val="clear" w:color="000000" w:fill="FFFFFF"/>
            <w:noWrap/>
            <w:vAlign w:val="center"/>
            <w:hideMark/>
          </w:tcPr>
          <w:p w14:paraId="5EC884B5" w14:textId="686FD43B" w:rsidR="00D028ED" w:rsidRPr="0076566F" w:rsidRDefault="000A7389" w:rsidP="00D028ED">
            <w:pPr>
              <w:tabs>
                <w:tab w:val="clear" w:pos="1134"/>
                <w:tab w:val="left" w:pos="1418"/>
              </w:tabs>
              <w:spacing w:before="100" w:after="100"/>
              <w:jc w:val="left"/>
              <w:rPr>
                <w:rFonts w:eastAsia="Times New Roman" w:cs="Calibri"/>
                <w:color w:val="222B35"/>
                <w:sz w:val="18"/>
                <w:szCs w:val="18"/>
                <w:lang w:val="es-ES"/>
              </w:rPr>
            </w:pPr>
            <w:r>
              <w:rPr>
                <w:lang w:val="es-ES"/>
              </w:rPr>
              <w:t>Partida</w:t>
            </w:r>
            <w:r w:rsidRPr="0076566F">
              <w:rPr>
                <w:lang w:val="es-ES"/>
              </w:rPr>
              <w:t xml:space="preserve"> </w:t>
            </w:r>
            <w:r w:rsidR="00D028ED" w:rsidRPr="0076566F">
              <w:rPr>
                <w:lang w:val="es-ES"/>
              </w:rPr>
              <w:t>VI. Órganos normativos, dirección ejecutiva y supervisión</w:t>
            </w:r>
          </w:p>
        </w:tc>
        <w:tc>
          <w:tcPr>
            <w:tcW w:w="587" w:type="pct"/>
            <w:gridSpan w:val="2"/>
            <w:shd w:val="clear" w:color="000000" w:fill="FFFFFF"/>
            <w:noWrap/>
            <w:vAlign w:val="center"/>
            <w:hideMark/>
          </w:tcPr>
          <w:p w14:paraId="4D97EE7E" w14:textId="375FCBAB"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43</w:t>
            </w:r>
            <w:r w:rsidR="00246054">
              <w:t xml:space="preserve"> </w:t>
            </w:r>
            <w:r>
              <w:t xml:space="preserve">747,0 </w:t>
            </w:r>
          </w:p>
        </w:tc>
        <w:tc>
          <w:tcPr>
            <w:tcW w:w="603" w:type="pct"/>
            <w:shd w:val="clear" w:color="000000" w:fill="FFFFFF"/>
            <w:noWrap/>
            <w:vAlign w:val="center"/>
            <w:hideMark/>
          </w:tcPr>
          <w:p w14:paraId="58A53056" w14:textId="56F1DEA2"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43</w:t>
            </w:r>
            <w:r w:rsidR="00246054">
              <w:t xml:space="preserve"> </w:t>
            </w:r>
            <w:r>
              <w:t xml:space="preserve">019,9 </w:t>
            </w:r>
          </w:p>
        </w:tc>
        <w:tc>
          <w:tcPr>
            <w:tcW w:w="546" w:type="pct"/>
            <w:shd w:val="clear" w:color="000000" w:fill="FFFFFF"/>
            <w:noWrap/>
            <w:vAlign w:val="center"/>
            <w:hideMark/>
          </w:tcPr>
          <w:p w14:paraId="543C47E8" w14:textId="77777777"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rPr>
            </w:pPr>
            <w:r>
              <w:t xml:space="preserve">727,1 </w:t>
            </w:r>
          </w:p>
        </w:tc>
      </w:tr>
      <w:tr w:rsidR="00D028ED" w:rsidRPr="003C3066" w14:paraId="11423698" w14:textId="77777777" w:rsidTr="00642968">
        <w:trPr>
          <w:trHeight w:val="300"/>
        </w:trPr>
        <w:tc>
          <w:tcPr>
            <w:tcW w:w="3264" w:type="pct"/>
            <w:shd w:val="clear" w:color="000000" w:fill="FFFFFF"/>
            <w:noWrap/>
            <w:vAlign w:val="center"/>
            <w:hideMark/>
          </w:tcPr>
          <w:p w14:paraId="287F8839" w14:textId="660BAA8A" w:rsidR="00D028ED" w:rsidRPr="0076566F" w:rsidRDefault="000A7389" w:rsidP="00D028ED">
            <w:pPr>
              <w:tabs>
                <w:tab w:val="clear" w:pos="1134"/>
                <w:tab w:val="left" w:pos="1418"/>
              </w:tabs>
              <w:spacing w:before="100" w:after="100"/>
              <w:jc w:val="left"/>
              <w:rPr>
                <w:rFonts w:eastAsia="Times New Roman" w:cs="Calibri"/>
                <w:color w:val="222B35"/>
                <w:sz w:val="18"/>
                <w:szCs w:val="18"/>
                <w:lang w:val="es-ES" w:eastAsia="zh-CN"/>
              </w:rPr>
            </w:pPr>
            <w:r>
              <w:rPr>
                <w:lang w:val="es-ES"/>
              </w:rPr>
              <w:t>Partida</w:t>
            </w:r>
            <w:r w:rsidRPr="0076566F">
              <w:rPr>
                <w:lang w:val="es-ES"/>
              </w:rPr>
              <w:t xml:space="preserve"> </w:t>
            </w:r>
            <w:r w:rsidR="00D028ED" w:rsidRPr="00246054">
              <w:rPr>
                <w:rFonts w:eastAsia="Times New Roman" w:cs="Calibri"/>
                <w:lang w:val="es-ES"/>
              </w:rPr>
              <w:t>VII. Servicio lingüístico y de conferencias</w:t>
            </w:r>
          </w:p>
        </w:tc>
        <w:tc>
          <w:tcPr>
            <w:tcW w:w="587" w:type="pct"/>
            <w:gridSpan w:val="2"/>
            <w:shd w:val="clear" w:color="000000" w:fill="FFFFFF"/>
            <w:noWrap/>
            <w:vAlign w:val="center"/>
            <w:hideMark/>
          </w:tcPr>
          <w:p w14:paraId="3F99AD9A" w14:textId="713CC574"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33</w:t>
            </w:r>
            <w:r w:rsidR="00246054">
              <w:t xml:space="preserve"> </w:t>
            </w:r>
            <w:r>
              <w:t xml:space="preserve">666,0 </w:t>
            </w:r>
          </w:p>
        </w:tc>
        <w:tc>
          <w:tcPr>
            <w:tcW w:w="603" w:type="pct"/>
            <w:shd w:val="clear" w:color="000000" w:fill="FFFFFF"/>
            <w:noWrap/>
            <w:vAlign w:val="center"/>
            <w:hideMark/>
          </w:tcPr>
          <w:p w14:paraId="05A5BDF2" w14:textId="364DA5F2"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33</w:t>
            </w:r>
            <w:r w:rsidR="00246054">
              <w:t xml:space="preserve"> </w:t>
            </w:r>
            <w:r>
              <w:t xml:space="preserve">666,0 </w:t>
            </w:r>
          </w:p>
        </w:tc>
        <w:tc>
          <w:tcPr>
            <w:tcW w:w="546" w:type="pct"/>
            <w:shd w:val="clear" w:color="000000" w:fill="FFFFFF"/>
            <w:noWrap/>
            <w:vAlign w:val="center"/>
            <w:hideMark/>
          </w:tcPr>
          <w:p w14:paraId="4274ADF4" w14:textId="77777777"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lang w:eastAsia="zh-CN"/>
              </w:rPr>
            </w:pPr>
            <w:r w:rsidRPr="003C3066">
              <w:rPr>
                <w:rFonts w:eastAsia="Times New Roman" w:cs="Calibri"/>
                <w:color w:val="000000"/>
                <w:sz w:val="18"/>
                <w:szCs w:val="18"/>
              </w:rPr>
              <w:t>-</w:t>
            </w:r>
          </w:p>
        </w:tc>
      </w:tr>
      <w:tr w:rsidR="00D028ED" w:rsidRPr="003C3066" w14:paraId="7527CDF7" w14:textId="77777777" w:rsidTr="00642968">
        <w:trPr>
          <w:trHeight w:val="135"/>
        </w:trPr>
        <w:tc>
          <w:tcPr>
            <w:tcW w:w="3264" w:type="pct"/>
            <w:tcBorders>
              <w:bottom w:val="single" w:sz="4" w:space="0" w:color="auto"/>
            </w:tcBorders>
            <w:shd w:val="clear" w:color="000000" w:fill="FFFFFF"/>
            <w:noWrap/>
            <w:vAlign w:val="center"/>
            <w:hideMark/>
          </w:tcPr>
          <w:p w14:paraId="34352D9A" w14:textId="77777777" w:rsidR="00D028ED" w:rsidRPr="003C3066" w:rsidRDefault="00D028ED" w:rsidP="00D028ED">
            <w:pPr>
              <w:tabs>
                <w:tab w:val="clear" w:pos="1134"/>
                <w:tab w:val="left" w:pos="1418"/>
              </w:tabs>
              <w:spacing w:before="100" w:after="100"/>
              <w:jc w:val="left"/>
              <w:rPr>
                <w:rFonts w:eastAsia="Times New Roman" w:cs="Calibri"/>
                <w:color w:val="222B35"/>
                <w:sz w:val="18"/>
                <w:szCs w:val="18"/>
                <w:lang w:eastAsia="zh-CN"/>
              </w:rPr>
            </w:pPr>
            <w:r w:rsidRPr="003C3066">
              <w:rPr>
                <w:rFonts w:eastAsia="Times New Roman" w:cs="Calibri"/>
                <w:color w:val="222B35"/>
                <w:sz w:val="18"/>
                <w:szCs w:val="18"/>
              </w:rPr>
              <w:t> </w:t>
            </w:r>
          </w:p>
        </w:tc>
        <w:tc>
          <w:tcPr>
            <w:tcW w:w="587" w:type="pct"/>
            <w:gridSpan w:val="2"/>
            <w:tcBorders>
              <w:bottom w:val="single" w:sz="4" w:space="0" w:color="auto"/>
            </w:tcBorders>
            <w:shd w:val="clear" w:color="000000" w:fill="FFFFFF"/>
            <w:noWrap/>
            <w:vAlign w:val="center"/>
            <w:hideMark/>
          </w:tcPr>
          <w:p w14:paraId="77233240" w14:textId="77777777" w:rsidR="00D028ED" w:rsidRPr="003C3066" w:rsidRDefault="00D028ED" w:rsidP="00D028ED">
            <w:pPr>
              <w:tabs>
                <w:tab w:val="clear" w:pos="1134"/>
                <w:tab w:val="left" w:pos="1418"/>
              </w:tabs>
              <w:spacing w:before="100" w:after="100"/>
              <w:jc w:val="right"/>
              <w:rPr>
                <w:rFonts w:eastAsia="Times New Roman" w:cs="Calibri"/>
                <w:color w:val="000000"/>
                <w:sz w:val="18"/>
                <w:szCs w:val="18"/>
                <w:lang w:eastAsia="zh-CN"/>
              </w:rPr>
            </w:pPr>
            <w:r w:rsidRPr="003C3066">
              <w:rPr>
                <w:rFonts w:eastAsia="Times New Roman" w:cs="Calibri"/>
                <w:color w:val="000000"/>
                <w:sz w:val="18"/>
                <w:szCs w:val="18"/>
              </w:rPr>
              <w:t> </w:t>
            </w:r>
          </w:p>
        </w:tc>
        <w:tc>
          <w:tcPr>
            <w:tcW w:w="603" w:type="pct"/>
            <w:tcBorders>
              <w:bottom w:val="single" w:sz="4" w:space="0" w:color="auto"/>
            </w:tcBorders>
            <w:shd w:val="clear" w:color="000000" w:fill="FFFFFF"/>
            <w:noWrap/>
            <w:vAlign w:val="bottom"/>
            <w:hideMark/>
          </w:tcPr>
          <w:p w14:paraId="1C4BC221" w14:textId="77777777" w:rsidR="00D028ED" w:rsidRPr="003C3066" w:rsidRDefault="00D028ED" w:rsidP="00D028ED">
            <w:pPr>
              <w:tabs>
                <w:tab w:val="clear" w:pos="1134"/>
                <w:tab w:val="left" w:pos="1418"/>
              </w:tabs>
              <w:spacing w:before="100" w:after="100"/>
              <w:jc w:val="right"/>
              <w:rPr>
                <w:rFonts w:eastAsia="Times New Roman" w:cs="Calibri"/>
                <w:color w:val="000000"/>
                <w:sz w:val="18"/>
                <w:szCs w:val="18"/>
                <w:lang w:eastAsia="zh-CN"/>
              </w:rPr>
            </w:pPr>
            <w:r w:rsidRPr="003C3066">
              <w:rPr>
                <w:rFonts w:eastAsia="Times New Roman" w:cs="Calibri"/>
                <w:color w:val="000000"/>
                <w:sz w:val="18"/>
                <w:szCs w:val="18"/>
              </w:rPr>
              <w:t> </w:t>
            </w:r>
          </w:p>
        </w:tc>
        <w:tc>
          <w:tcPr>
            <w:tcW w:w="546" w:type="pct"/>
            <w:tcBorders>
              <w:bottom w:val="single" w:sz="4" w:space="0" w:color="auto"/>
            </w:tcBorders>
            <w:shd w:val="clear" w:color="000000" w:fill="FFFFFF"/>
            <w:noWrap/>
            <w:vAlign w:val="bottom"/>
            <w:hideMark/>
          </w:tcPr>
          <w:p w14:paraId="21632FA7" w14:textId="77777777" w:rsidR="00D028ED" w:rsidRPr="003C3066" w:rsidRDefault="00D028ED" w:rsidP="00D028ED">
            <w:pPr>
              <w:tabs>
                <w:tab w:val="clear" w:pos="1134"/>
                <w:tab w:val="left" w:pos="1418"/>
              </w:tabs>
              <w:spacing w:before="100" w:after="100"/>
              <w:ind w:left="-53"/>
              <w:jc w:val="right"/>
              <w:rPr>
                <w:rFonts w:eastAsia="Times New Roman" w:cs="Calibri"/>
                <w:color w:val="000000"/>
                <w:sz w:val="18"/>
                <w:szCs w:val="18"/>
                <w:lang w:eastAsia="zh-CN"/>
              </w:rPr>
            </w:pPr>
            <w:r w:rsidRPr="003C3066">
              <w:rPr>
                <w:rFonts w:eastAsia="Times New Roman" w:cs="Calibri"/>
                <w:color w:val="000000"/>
                <w:sz w:val="18"/>
                <w:szCs w:val="18"/>
              </w:rPr>
              <w:t> </w:t>
            </w:r>
          </w:p>
        </w:tc>
      </w:tr>
      <w:tr w:rsidR="00D028ED" w:rsidRPr="003C3066" w14:paraId="01B33C70" w14:textId="77777777" w:rsidTr="00642968">
        <w:trPr>
          <w:trHeight w:val="330"/>
        </w:trPr>
        <w:tc>
          <w:tcPr>
            <w:tcW w:w="3264" w:type="pct"/>
            <w:tcBorders>
              <w:top w:val="single" w:sz="4" w:space="0" w:color="auto"/>
              <w:bottom w:val="single" w:sz="4" w:space="0" w:color="auto"/>
            </w:tcBorders>
            <w:shd w:val="clear" w:color="000000" w:fill="FFFFFF"/>
            <w:noWrap/>
            <w:vAlign w:val="center"/>
            <w:hideMark/>
          </w:tcPr>
          <w:p w14:paraId="131574B2" w14:textId="618E4175" w:rsidR="00D028ED" w:rsidRPr="003C3066" w:rsidRDefault="00D028ED" w:rsidP="00D028ED">
            <w:pPr>
              <w:tabs>
                <w:tab w:val="clear" w:pos="1134"/>
                <w:tab w:val="left" w:pos="1418"/>
              </w:tabs>
              <w:spacing w:before="100" w:after="100"/>
              <w:ind w:firstLineChars="200" w:firstLine="402"/>
              <w:jc w:val="left"/>
              <w:rPr>
                <w:rFonts w:eastAsia="Times New Roman" w:cs="Calibri"/>
                <w:b/>
                <w:bCs/>
                <w:color w:val="000000"/>
                <w:sz w:val="18"/>
                <w:szCs w:val="18"/>
              </w:rPr>
            </w:pPr>
            <w:r>
              <w:rPr>
                <w:b/>
              </w:rPr>
              <w:t>Total de gastos máximos</w:t>
            </w:r>
          </w:p>
        </w:tc>
        <w:tc>
          <w:tcPr>
            <w:tcW w:w="587" w:type="pct"/>
            <w:gridSpan w:val="2"/>
            <w:tcBorders>
              <w:top w:val="single" w:sz="4" w:space="0" w:color="auto"/>
              <w:bottom w:val="single" w:sz="4" w:space="0" w:color="auto"/>
            </w:tcBorders>
            <w:shd w:val="clear" w:color="000000" w:fill="FFFFFF"/>
            <w:noWrap/>
            <w:vAlign w:val="center"/>
            <w:hideMark/>
          </w:tcPr>
          <w:p w14:paraId="392A7CCC" w14:textId="53E95862" w:rsidR="00D028ED" w:rsidRPr="003C3066" w:rsidRDefault="00D028ED" w:rsidP="00D028ED">
            <w:pPr>
              <w:tabs>
                <w:tab w:val="clear" w:pos="1134"/>
                <w:tab w:val="left" w:pos="1418"/>
              </w:tabs>
              <w:spacing w:before="100" w:after="100"/>
              <w:ind w:left="-329"/>
              <w:jc w:val="right"/>
              <w:rPr>
                <w:rFonts w:eastAsia="Times New Roman" w:cs="Calibri"/>
                <w:b/>
                <w:bCs/>
                <w:color w:val="000000"/>
                <w:sz w:val="18"/>
                <w:szCs w:val="18"/>
              </w:rPr>
            </w:pPr>
            <w:r>
              <w:rPr>
                <w:b/>
              </w:rPr>
              <w:t>290</w:t>
            </w:r>
            <w:r w:rsidR="00246054">
              <w:rPr>
                <w:b/>
              </w:rPr>
              <w:t xml:space="preserve"> </w:t>
            </w:r>
            <w:r>
              <w:rPr>
                <w:b/>
              </w:rPr>
              <w:t xml:space="preserve">396,4 </w:t>
            </w:r>
          </w:p>
        </w:tc>
        <w:tc>
          <w:tcPr>
            <w:tcW w:w="603" w:type="pct"/>
            <w:tcBorders>
              <w:top w:val="single" w:sz="4" w:space="0" w:color="auto"/>
              <w:bottom w:val="single" w:sz="4" w:space="0" w:color="auto"/>
            </w:tcBorders>
            <w:shd w:val="clear" w:color="000000" w:fill="FFFFFF"/>
            <w:noWrap/>
            <w:vAlign w:val="center"/>
            <w:hideMark/>
          </w:tcPr>
          <w:p w14:paraId="2E02776D" w14:textId="5CDEA3FC" w:rsidR="00D028ED" w:rsidRPr="003C3066" w:rsidRDefault="00D028ED" w:rsidP="00D028ED">
            <w:pPr>
              <w:tabs>
                <w:tab w:val="clear" w:pos="1134"/>
                <w:tab w:val="left" w:pos="1418"/>
              </w:tabs>
              <w:spacing w:before="100" w:after="100"/>
              <w:ind w:left="-153"/>
              <w:jc w:val="right"/>
              <w:rPr>
                <w:rFonts w:eastAsia="Times New Roman" w:cs="Calibri"/>
                <w:b/>
                <w:bCs/>
                <w:color w:val="000000"/>
                <w:sz w:val="18"/>
                <w:szCs w:val="18"/>
              </w:rPr>
            </w:pPr>
            <w:r>
              <w:rPr>
                <w:b/>
              </w:rPr>
              <w:t>271</w:t>
            </w:r>
            <w:r w:rsidR="00246054">
              <w:rPr>
                <w:b/>
              </w:rPr>
              <w:t xml:space="preserve"> </w:t>
            </w:r>
            <w:r>
              <w:rPr>
                <w:b/>
              </w:rPr>
              <w:t xml:space="preserve">544,4 </w:t>
            </w:r>
          </w:p>
        </w:tc>
        <w:tc>
          <w:tcPr>
            <w:tcW w:w="546" w:type="pct"/>
            <w:tcBorders>
              <w:top w:val="single" w:sz="4" w:space="0" w:color="auto"/>
              <w:bottom w:val="single" w:sz="4" w:space="0" w:color="auto"/>
            </w:tcBorders>
            <w:shd w:val="clear" w:color="000000" w:fill="FFFFFF"/>
            <w:noWrap/>
            <w:vAlign w:val="center"/>
            <w:hideMark/>
          </w:tcPr>
          <w:p w14:paraId="2FAC57DB" w14:textId="69756328" w:rsidR="00D028ED" w:rsidRPr="003C3066" w:rsidRDefault="00D028ED" w:rsidP="00D028ED">
            <w:pPr>
              <w:tabs>
                <w:tab w:val="clear" w:pos="1134"/>
                <w:tab w:val="left" w:pos="1418"/>
              </w:tabs>
              <w:spacing w:before="100" w:after="100"/>
              <w:ind w:left="-53"/>
              <w:jc w:val="right"/>
              <w:rPr>
                <w:rFonts w:eastAsia="Times New Roman" w:cs="Calibri"/>
                <w:b/>
                <w:bCs/>
                <w:color w:val="000000"/>
                <w:sz w:val="18"/>
                <w:szCs w:val="18"/>
              </w:rPr>
            </w:pPr>
            <w:r>
              <w:rPr>
                <w:b/>
              </w:rPr>
              <w:t>18</w:t>
            </w:r>
            <w:r w:rsidR="00246054">
              <w:rPr>
                <w:b/>
              </w:rPr>
              <w:t xml:space="preserve"> </w:t>
            </w:r>
            <w:r>
              <w:rPr>
                <w:b/>
              </w:rPr>
              <w:t xml:space="preserve">852,0 </w:t>
            </w:r>
          </w:p>
        </w:tc>
      </w:tr>
    </w:tbl>
    <w:p w14:paraId="542239ED" w14:textId="77777777" w:rsidR="00D028ED" w:rsidRPr="003C3066" w:rsidRDefault="00D028ED" w:rsidP="00D028ED">
      <w:pPr>
        <w:tabs>
          <w:tab w:val="clear" w:pos="1134"/>
          <w:tab w:val="left" w:pos="1418"/>
        </w:tabs>
        <w:spacing w:after="200"/>
        <w:jc w:val="left"/>
        <w:rPr>
          <w:rFonts w:eastAsiaTheme="minorEastAsia" w:cstheme="minorBidi"/>
          <w:szCs w:val="22"/>
          <w:lang w:eastAsia="zh-CN"/>
        </w:rPr>
      </w:pPr>
      <w:r w:rsidRPr="003C3066">
        <w:rPr>
          <w:rFonts w:eastAsiaTheme="minorEastAsia" w:cstheme="minorBidi"/>
          <w:noProof/>
          <w:szCs w:val="22"/>
        </w:rPr>
        <w:fldChar w:fldCharType="end"/>
      </w:r>
    </w:p>
    <w:p w14:paraId="40151D81" w14:textId="0F8F8BE3" w:rsidR="00D028ED" w:rsidRPr="00755E85" w:rsidRDefault="00200AFB">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val="es-ES"/>
        </w:rPr>
      </w:pPr>
      <w:bookmarkStart w:id="6" w:name="_Toc121390458"/>
      <w:r>
        <w:rPr>
          <w:b/>
          <w:lang w:val="es-ES"/>
        </w:rPr>
        <w:t>Escenarios</w:t>
      </w:r>
      <w:r w:rsidR="00D028ED" w:rsidRPr="00755E85">
        <w:rPr>
          <w:b/>
          <w:lang w:val="es-ES"/>
        </w:rPr>
        <w:t xml:space="preserve"> de gasto máximo por objetivo estratégico</w:t>
      </w:r>
      <w:bookmarkEnd w:id="6"/>
    </w:p>
    <w:p w14:paraId="0519B7A2" w14:textId="5B998F2D"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En el cuadro 5 se presenta una visión complementaria de los escenarios de gastos máximos</w:t>
      </w:r>
      <w:r w:rsidR="003A72A4">
        <w:rPr>
          <w:rFonts w:eastAsiaTheme="minorHAnsi" w:cstheme="minorBidi"/>
          <w:lang w:val="es-ES"/>
        </w:rPr>
        <w:t>,</w:t>
      </w:r>
      <w:r w:rsidRPr="00755E85">
        <w:rPr>
          <w:rFonts w:eastAsiaTheme="minorHAnsi" w:cstheme="minorBidi"/>
          <w:lang w:val="es-ES"/>
        </w:rPr>
        <w:t xml:space="preserve"> en consonancia con el marco lógico definido en el Plan Estratégico por objetivos estratégicos. En este cuadro se presenta una visión consolidada en términos financieros del Plan de Funcionamiento a nivel de objetivos estratégicos</w:t>
      </w:r>
      <w:r w:rsidR="003A72A4">
        <w:rPr>
          <w:rFonts w:eastAsiaTheme="minorHAnsi" w:cstheme="minorBidi"/>
          <w:lang w:val="es-ES"/>
        </w:rPr>
        <w:t>.</w:t>
      </w:r>
      <w:r w:rsidRPr="00755E85">
        <w:rPr>
          <w:rFonts w:eastAsiaTheme="minorHAnsi" w:cstheme="minorBidi"/>
          <w:lang w:val="es-ES"/>
        </w:rPr>
        <w:t xml:space="preserve"> El cuadro también ilustra en qué áreas programáticas se produce la variación entre los escenarios de gasto máximo.</w:t>
      </w:r>
    </w:p>
    <w:p w14:paraId="78AB434F" w14:textId="4109F3FB" w:rsidR="00D028ED" w:rsidRPr="00755E85" w:rsidRDefault="00D028ED" w:rsidP="00D028ED">
      <w:pPr>
        <w:tabs>
          <w:tab w:val="clear" w:pos="1134"/>
          <w:tab w:val="left" w:pos="1418"/>
        </w:tabs>
        <w:spacing w:after="200"/>
        <w:jc w:val="center"/>
        <w:rPr>
          <w:rFonts w:eastAsiaTheme="minorEastAsia" w:cstheme="minorBidi"/>
          <w:i/>
          <w:szCs w:val="22"/>
          <w:lang w:val="es-ES" w:eastAsia="zh-CN"/>
        </w:rPr>
      </w:pPr>
      <w:r w:rsidRPr="00755E85">
        <w:rPr>
          <w:rFonts w:eastAsiaTheme="minorEastAsia" w:cstheme="minorBidi"/>
          <w:b/>
          <w:szCs w:val="22"/>
          <w:lang w:val="es-ES"/>
        </w:rPr>
        <w:lastRenderedPageBreak/>
        <w:t>Cuadro 5</w:t>
      </w:r>
      <w:r w:rsidRPr="00755E85">
        <w:rPr>
          <w:rFonts w:eastAsiaTheme="minorEastAsia" w:cstheme="minorBidi"/>
          <w:b/>
          <w:i/>
          <w:szCs w:val="22"/>
          <w:lang w:val="es-ES"/>
        </w:rPr>
        <w:br/>
      </w:r>
      <w:r w:rsidRPr="00755E85">
        <w:rPr>
          <w:rFonts w:eastAsiaTheme="minorEastAsia" w:cstheme="minorBidi"/>
          <w:b/>
          <w:szCs w:val="22"/>
          <w:lang w:val="es-ES"/>
        </w:rPr>
        <w:t xml:space="preserve">Escenarios de gastos máximos por objetivos estratégicos </w:t>
      </w:r>
      <w:r w:rsidRPr="00755E85">
        <w:rPr>
          <w:rFonts w:eastAsiaTheme="minorEastAsia" w:cstheme="minorBidi"/>
          <w:b/>
          <w:szCs w:val="22"/>
          <w:lang w:val="es-ES"/>
        </w:rPr>
        <w:br/>
      </w:r>
      <w:r w:rsidRPr="00755E85">
        <w:rPr>
          <w:rFonts w:eastAsiaTheme="minorEastAsia" w:cstheme="minorBidi"/>
          <w:i/>
          <w:szCs w:val="22"/>
          <w:lang w:val="es-ES"/>
        </w:rPr>
        <w:t xml:space="preserve"> (montos en miles de francos suizos)</w:t>
      </w:r>
    </w:p>
    <w:p w14:paraId="5D4221E9" w14:textId="77777777" w:rsidR="00D028ED" w:rsidRPr="00C719E2" w:rsidRDefault="00D028ED" w:rsidP="00D028ED">
      <w:pPr>
        <w:tabs>
          <w:tab w:val="clear" w:pos="1134"/>
          <w:tab w:val="left" w:pos="1418"/>
        </w:tabs>
        <w:spacing w:after="200"/>
        <w:jc w:val="left"/>
        <w:rPr>
          <w:rFonts w:asciiTheme="minorHAnsi" w:eastAsia="MS Mincho" w:hAnsiTheme="minorHAnsi" w:cstheme="minorHAnsi"/>
          <w:sz w:val="18"/>
          <w:szCs w:val="18"/>
          <w:lang w:val="es-ES" w:eastAsia="zh-TW"/>
        </w:rPr>
      </w:pPr>
      <w:r w:rsidRPr="003C3066">
        <w:rPr>
          <w:rFonts w:eastAsiaTheme="minorEastAsia" w:cstheme="minorBidi"/>
          <w:noProof/>
          <w:szCs w:val="22"/>
        </w:rPr>
        <w:fldChar w:fldCharType="begin"/>
      </w:r>
      <w:r w:rsidRPr="00755E85">
        <w:rPr>
          <w:rFonts w:eastAsiaTheme="minorEastAsia" w:cstheme="minorBidi"/>
          <w:noProof/>
          <w:szCs w:val="22"/>
          <w:lang w:val="es-ES"/>
        </w:rPr>
        <w:instrText xml:space="preserve"> LINK Excel.Sheet.12 "https://wmoomm.sharepoint.com/sites/GS-Finance/Shared%20Documents/Finance/Budget/2024-2027/TABLE%20FOR%20DOCUMENT.xlsx" "Table 5!R2C1:R50C7" \a \f 4 \h  \* MERGEFORMAT </w:instrText>
      </w:r>
      <w:r w:rsidRPr="003C3066">
        <w:rPr>
          <w:rFonts w:eastAsiaTheme="minorEastAsia" w:cstheme="minorBidi"/>
          <w:noProof/>
          <w:szCs w:val="22"/>
        </w:rPr>
        <w:fldChar w:fldCharType="end"/>
      </w:r>
      <w:r w:rsidRPr="00C719E2">
        <w:rPr>
          <w:rFonts w:asciiTheme="minorHAnsi" w:eastAsiaTheme="minorEastAsia" w:hAnsiTheme="minorHAnsi" w:cstheme="minorHAnsi"/>
          <w:noProof/>
          <w:sz w:val="18"/>
          <w:szCs w:val="18"/>
        </w:rPr>
        <w:fldChar w:fldCharType="begin"/>
      </w:r>
      <w:r w:rsidRPr="00C719E2">
        <w:rPr>
          <w:rFonts w:asciiTheme="minorHAnsi" w:eastAsiaTheme="minorEastAsia" w:hAnsiTheme="minorHAnsi" w:cstheme="minorHAnsi"/>
          <w:noProof/>
          <w:sz w:val="18"/>
          <w:szCs w:val="18"/>
          <w:lang w:val="es-ES"/>
        </w:rPr>
        <w:instrText xml:space="preserve"> LINK Excel.Sheet.12 "https://wmoomm.sharepoint.com/sites/GS-Finance/Shared%20Documents/Finance/Budget/2024-2027/TABLE%20FOR%20DOCUMENT.xlsx" "Table 5!R2C1:R50C7" \a \f 4 \h  \* MERGEFORMAT </w:instrText>
      </w:r>
      <w:r w:rsidRPr="00C719E2">
        <w:rPr>
          <w:rFonts w:asciiTheme="minorHAnsi" w:eastAsiaTheme="minorEastAsia" w:hAnsiTheme="minorHAnsi" w:cstheme="minorHAnsi"/>
          <w:noProof/>
          <w:sz w:val="18"/>
          <w:szCs w:val="18"/>
        </w:rPr>
        <w:fldChar w:fldCharType="separate"/>
      </w:r>
    </w:p>
    <w:tbl>
      <w:tblPr>
        <w:tblW w:w="9611" w:type="dxa"/>
        <w:tblLayout w:type="fixed"/>
        <w:tblLook w:val="04A0" w:firstRow="1" w:lastRow="0" w:firstColumn="1" w:lastColumn="0" w:noHBand="0" w:noVBand="1"/>
      </w:tblPr>
      <w:tblGrid>
        <w:gridCol w:w="5954"/>
        <w:gridCol w:w="276"/>
        <w:gridCol w:w="985"/>
        <w:gridCol w:w="266"/>
        <w:gridCol w:w="986"/>
        <w:gridCol w:w="266"/>
        <w:gridCol w:w="878"/>
      </w:tblGrid>
      <w:tr w:rsidR="00D028ED" w:rsidRPr="00C719E2" w14:paraId="55065DFF" w14:textId="77777777" w:rsidTr="00642968">
        <w:trPr>
          <w:trHeight w:val="240"/>
        </w:trPr>
        <w:tc>
          <w:tcPr>
            <w:tcW w:w="5954" w:type="dxa"/>
            <w:tcBorders>
              <w:top w:val="nil"/>
              <w:left w:val="nil"/>
              <w:bottom w:val="nil"/>
              <w:right w:val="nil"/>
            </w:tcBorders>
            <w:shd w:val="clear" w:color="000000" w:fill="FFFFFF"/>
            <w:noWrap/>
            <w:vAlign w:val="bottom"/>
            <w:hideMark/>
          </w:tcPr>
          <w:p w14:paraId="4D1BDD5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76" w:type="dxa"/>
            <w:tcBorders>
              <w:top w:val="nil"/>
              <w:left w:val="nil"/>
              <w:bottom w:val="nil"/>
              <w:right w:val="nil"/>
            </w:tcBorders>
            <w:shd w:val="clear" w:color="000000" w:fill="FFFFFF"/>
            <w:noWrap/>
            <w:vAlign w:val="bottom"/>
            <w:hideMark/>
          </w:tcPr>
          <w:p w14:paraId="4107D39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237" w:type="dxa"/>
            <w:gridSpan w:val="3"/>
            <w:tcBorders>
              <w:top w:val="nil"/>
              <w:left w:val="nil"/>
              <w:bottom w:val="single" w:sz="4" w:space="0" w:color="auto"/>
              <w:right w:val="nil"/>
            </w:tcBorders>
            <w:shd w:val="clear" w:color="000000" w:fill="FFFFFF"/>
            <w:noWrap/>
            <w:vAlign w:val="bottom"/>
            <w:hideMark/>
          </w:tcPr>
          <w:p w14:paraId="644DE28F"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i/>
                <w:iCs/>
                <w:color w:val="000000"/>
                <w:sz w:val="18"/>
                <w:szCs w:val="18"/>
                <w:lang w:eastAsia="zh-CN"/>
              </w:rPr>
            </w:pPr>
            <w:r w:rsidRPr="00C719E2">
              <w:rPr>
                <w:rFonts w:asciiTheme="minorHAnsi" w:eastAsia="Times New Roman" w:hAnsiTheme="minorHAnsi" w:cstheme="minorHAnsi"/>
                <w:b/>
                <w:i/>
                <w:color w:val="000000"/>
                <w:sz w:val="18"/>
                <w:szCs w:val="18"/>
              </w:rPr>
              <w:t>Escenarios</w:t>
            </w:r>
          </w:p>
        </w:tc>
        <w:tc>
          <w:tcPr>
            <w:tcW w:w="266" w:type="dxa"/>
            <w:tcBorders>
              <w:top w:val="nil"/>
              <w:left w:val="nil"/>
              <w:bottom w:val="nil"/>
              <w:right w:val="nil"/>
            </w:tcBorders>
            <w:shd w:val="clear" w:color="000000" w:fill="FFFFFF"/>
            <w:noWrap/>
            <w:vAlign w:val="bottom"/>
            <w:hideMark/>
          </w:tcPr>
          <w:p w14:paraId="1AF96E7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i/>
                <w:iCs/>
                <w:color w:val="000000"/>
                <w:sz w:val="18"/>
                <w:szCs w:val="18"/>
                <w:lang w:eastAsia="zh-CN"/>
              </w:rPr>
            </w:pPr>
            <w:r w:rsidRPr="00C719E2">
              <w:rPr>
                <w:rFonts w:asciiTheme="minorHAnsi" w:eastAsia="Times New Roman" w:hAnsiTheme="minorHAnsi" w:cstheme="minorHAnsi"/>
                <w:i/>
                <w:color w:val="000000"/>
                <w:sz w:val="18"/>
                <w:szCs w:val="18"/>
              </w:rPr>
              <w:t> </w:t>
            </w:r>
          </w:p>
        </w:tc>
        <w:tc>
          <w:tcPr>
            <w:tcW w:w="878" w:type="dxa"/>
            <w:vMerge w:val="restart"/>
            <w:tcBorders>
              <w:top w:val="nil"/>
              <w:left w:val="nil"/>
              <w:bottom w:val="single" w:sz="8" w:space="0" w:color="000000"/>
              <w:right w:val="nil"/>
            </w:tcBorders>
            <w:shd w:val="clear" w:color="000000" w:fill="FFFFFF"/>
            <w:noWrap/>
            <w:vAlign w:val="center"/>
            <w:hideMark/>
          </w:tcPr>
          <w:p w14:paraId="6E0F1E32"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i/>
                <w:iCs/>
                <w:color w:val="000000"/>
                <w:sz w:val="18"/>
                <w:szCs w:val="18"/>
              </w:rPr>
            </w:pPr>
            <w:r w:rsidRPr="00C719E2">
              <w:rPr>
                <w:rFonts w:asciiTheme="minorHAnsi" w:hAnsiTheme="minorHAnsi" w:cstheme="minorHAnsi"/>
                <w:b/>
                <w:i/>
                <w:sz w:val="18"/>
                <w:szCs w:val="18"/>
              </w:rPr>
              <w:t>Varianza</w:t>
            </w:r>
          </w:p>
        </w:tc>
      </w:tr>
      <w:tr w:rsidR="00D028ED" w:rsidRPr="00C719E2" w14:paraId="10C73047" w14:textId="77777777" w:rsidTr="00642968">
        <w:trPr>
          <w:trHeight w:val="324"/>
        </w:trPr>
        <w:tc>
          <w:tcPr>
            <w:tcW w:w="5954" w:type="dxa"/>
            <w:tcBorders>
              <w:top w:val="nil"/>
              <w:left w:val="nil"/>
              <w:bottom w:val="single" w:sz="8" w:space="0" w:color="auto"/>
              <w:right w:val="nil"/>
            </w:tcBorders>
            <w:shd w:val="clear" w:color="000000" w:fill="FFFFFF"/>
            <w:vAlign w:val="center"/>
            <w:hideMark/>
          </w:tcPr>
          <w:p w14:paraId="7050E6F6" w14:textId="77777777" w:rsidR="00D028ED" w:rsidRPr="00C719E2" w:rsidRDefault="00D028ED" w:rsidP="00D028ED">
            <w:pPr>
              <w:tabs>
                <w:tab w:val="clear" w:pos="1134"/>
                <w:tab w:val="left" w:pos="1418"/>
              </w:tabs>
              <w:spacing w:after="200"/>
              <w:ind w:firstLineChars="100" w:firstLine="181"/>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Meta a largo plazo / Objetivos estratégicos</w:t>
            </w:r>
          </w:p>
        </w:tc>
        <w:tc>
          <w:tcPr>
            <w:tcW w:w="276" w:type="dxa"/>
            <w:tcBorders>
              <w:top w:val="nil"/>
              <w:left w:val="nil"/>
              <w:bottom w:val="nil"/>
              <w:right w:val="nil"/>
            </w:tcBorders>
            <w:shd w:val="clear" w:color="000000" w:fill="FFFFFF"/>
            <w:noWrap/>
            <w:vAlign w:val="center"/>
            <w:hideMark/>
          </w:tcPr>
          <w:p w14:paraId="6AB957B6"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5" w:type="dxa"/>
            <w:tcBorders>
              <w:top w:val="nil"/>
              <w:left w:val="nil"/>
              <w:bottom w:val="single" w:sz="8" w:space="0" w:color="auto"/>
              <w:right w:val="nil"/>
            </w:tcBorders>
            <w:shd w:val="clear" w:color="000000" w:fill="FFFFFF"/>
            <w:vAlign w:val="center"/>
            <w:hideMark/>
          </w:tcPr>
          <w:p w14:paraId="6366D421"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i/>
                <w:iCs/>
                <w:color w:val="000000"/>
                <w:sz w:val="18"/>
                <w:szCs w:val="18"/>
                <w:lang w:eastAsia="zh-CN"/>
              </w:rPr>
            </w:pPr>
            <w:r w:rsidRPr="00C719E2">
              <w:rPr>
                <w:rFonts w:asciiTheme="minorHAnsi" w:eastAsia="Times New Roman" w:hAnsiTheme="minorHAnsi" w:cstheme="minorHAnsi"/>
                <w:b/>
                <w:i/>
                <w:color w:val="000000"/>
                <w:sz w:val="18"/>
                <w:szCs w:val="18"/>
              </w:rPr>
              <w:t>Propuesta del Secretario General</w:t>
            </w:r>
          </w:p>
        </w:tc>
        <w:tc>
          <w:tcPr>
            <w:tcW w:w="266" w:type="dxa"/>
            <w:tcBorders>
              <w:top w:val="nil"/>
              <w:left w:val="nil"/>
              <w:bottom w:val="nil"/>
              <w:right w:val="nil"/>
            </w:tcBorders>
            <w:shd w:val="clear" w:color="000000" w:fill="FFFFFF"/>
            <w:vAlign w:val="center"/>
            <w:hideMark/>
          </w:tcPr>
          <w:p w14:paraId="7AE4EF38"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i/>
                <w:iCs/>
                <w:color w:val="000000"/>
                <w:sz w:val="18"/>
                <w:szCs w:val="18"/>
                <w:lang w:eastAsia="zh-CN"/>
              </w:rPr>
            </w:pPr>
            <w:r w:rsidRPr="00C719E2">
              <w:rPr>
                <w:rFonts w:asciiTheme="minorHAnsi" w:eastAsia="Times New Roman" w:hAnsiTheme="minorHAnsi" w:cstheme="minorHAnsi"/>
                <w:b/>
                <w:i/>
                <w:color w:val="000000"/>
                <w:sz w:val="18"/>
                <w:szCs w:val="18"/>
              </w:rPr>
              <w:t> </w:t>
            </w:r>
          </w:p>
        </w:tc>
        <w:tc>
          <w:tcPr>
            <w:tcW w:w="986" w:type="dxa"/>
            <w:tcBorders>
              <w:top w:val="nil"/>
              <w:left w:val="nil"/>
              <w:bottom w:val="single" w:sz="8" w:space="0" w:color="auto"/>
              <w:right w:val="nil"/>
            </w:tcBorders>
            <w:shd w:val="clear" w:color="000000" w:fill="FFFFFF"/>
            <w:noWrap/>
            <w:vAlign w:val="bottom"/>
            <w:hideMark/>
          </w:tcPr>
          <w:p w14:paraId="3BBA3380"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i/>
                <w:iCs/>
                <w:color w:val="000000"/>
                <w:sz w:val="18"/>
                <w:szCs w:val="18"/>
                <w:lang w:eastAsia="zh-CN"/>
              </w:rPr>
            </w:pPr>
            <w:r w:rsidRPr="00C719E2">
              <w:rPr>
                <w:rFonts w:asciiTheme="minorHAnsi" w:eastAsia="Times New Roman" w:hAnsiTheme="minorHAnsi" w:cstheme="minorHAnsi"/>
                <w:b/>
                <w:i/>
                <w:color w:val="000000"/>
                <w:sz w:val="18"/>
                <w:szCs w:val="18"/>
              </w:rPr>
              <w:t>Crecimiento nominal nominal (ZNG)</w:t>
            </w:r>
          </w:p>
        </w:tc>
        <w:tc>
          <w:tcPr>
            <w:tcW w:w="266" w:type="dxa"/>
            <w:tcBorders>
              <w:top w:val="nil"/>
              <w:left w:val="nil"/>
              <w:bottom w:val="nil"/>
              <w:right w:val="nil"/>
            </w:tcBorders>
            <w:shd w:val="clear" w:color="000000" w:fill="FFFFFF"/>
            <w:vAlign w:val="center"/>
            <w:hideMark/>
          </w:tcPr>
          <w:p w14:paraId="71568E96"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i/>
                <w:iCs/>
                <w:color w:val="000000"/>
                <w:sz w:val="18"/>
                <w:szCs w:val="18"/>
                <w:lang w:eastAsia="zh-CN"/>
              </w:rPr>
            </w:pPr>
            <w:r w:rsidRPr="00C719E2">
              <w:rPr>
                <w:rFonts w:asciiTheme="minorHAnsi" w:eastAsia="Times New Roman" w:hAnsiTheme="minorHAnsi" w:cstheme="minorHAnsi"/>
                <w:b/>
                <w:i/>
                <w:color w:val="000000"/>
                <w:sz w:val="18"/>
                <w:szCs w:val="18"/>
              </w:rPr>
              <w:t> </w:t>
            </w:r>
          </w:p>
        </w:tc>
        <w:tc>
          <w:tcPr>
            <w:tcW w:w="878" w:type="dxa"/>
            <w:vMerge/>
            <w:tcBorders>
              <w:top w:val="nil"/>
              <w:left w:val="nil"/>
              <w:bottom w:val="single" w:sz="8" w:space="0" w:color="000000"/>
              <w:right w:val="nil"/>
            </w:tcBorders>
            <w:vAlign w:val="center"/>
            <w:hideMark/>
          </w:tcPr>
          <w:p w14:paraId="20A90F9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i/>
                <w:iCs/>
                <w:color w:val="000000"/>
                <w:sz w:val="18"/>
                <w:szCs w:val="18"/>
                <w:lang w:eastAsia="zh-CN"/>
              </w:rPr>
            </w:pPr>
          </w:p>
        </w:tc>
      </w:tr>
      <w:tr w:rsidR="00D028ED" w:rsidRPr="00C719E2" w14:paraId="47DA3075" w14:textId="77777777" w:rsidTr="00642968">
        <w:trPr>
          <w:trHeight w:val="240"/>
        </w:trPr>
        <w:tc>
          <w:tcPr>
            <w:tcW w:w="5954" w:type="dxa"/>
            <w:tcBorders>
              <w:top w:val="nil"/>
              <w:left w:val="nil"/>
              <w:bottom w:val="nil"/>
              <w:right w:val="nil"/>
            </w:tcBorders>
            <w:shd w:val="clear" w:color="000000" w:fill="FFFFFF"/>
            <w:vAlign w:val="center"/>
            <w:hideMark/>
          </w:tcPr>
          <w:p w14:paraId="4493DE46"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276" w:type="dxa"/>
            <w:tcBorders>
              <w:top w:val="nil"/>
              <w:left w:val="nil"/>
              <w:bottom w:val="nil"/>
              <w:right w:val="nil"/>
            </w:tcBorders>
            <w:shd w:val="clear" w:color="000000" w:fill="FFFFFF"/>
            <w:vAlign w:val="center"/>
            <w:hideMark/>
          </w:tcPr>
          <w:p w14:paraId="77C2EC08"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5" w:type="dxa"/>
            <w:tcBorders>
              <w:top w:val="nil"/>
              <w:left w:val="nil"/>
              <w:bottom w:val="nil"/>
              <w:right w:val="nil"/>
            </w:tcBorders>
            <w:shd w:val="clear" w:color="000000" w:fill="FFFFFF"/>
            <w:vAlign w:val="center"/>
            <w:hideMark/>
          </w:tcPr>
          <w:p w14:paraId="0BE5EF7D"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266" w:type="dxa"/>
            <w:tcBorders>
              <w:top w:val="nil"/>
              <w:left w:val="nil"/>
              <w:bottom w:val="nil"/>
              <w:right w:val="nil"/>
            </w:tcBorders>
            <w:shd w:val="clear" w:color="000000" w:fill="FFFFFF"/>
            <w:vAlign w:val="center"/>
            <w:hideMark/>
          </w:tcPr>
          <w:p w14:paraId="0F213633"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6" w:type="dxa"/>
            <w:tcBorders>
              <w:top w:val="nil"/>
              <w:left w:val="nil"/>
              <w:bottom w:val="nil"/>
              <w:right w:val="nil"/>
            </w:tcBorders>
            <w:shd w:val="clear" w:color="000000" w:fill="FFFFFF"/>
            <w:vAlign w:val="center"/>
            <w:hideMark/>
          </w:tcPr>
          <w:p w14:paraId="08290751"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266" w:type="dxa"/>
            <w:tcBorders>
              <w:top w:val="nil"/>
              <w:left w:val="nil"/>
              <w:bottom w:val="nil"/>
              <w:right w:val="nil"/>
            </w:tcBorders>
            <w:shd w:val="clear" w:color="000000" w:fill="FFFFFF"/>
            <w:vAlign w:val="center"/>
            <w:hideMark/>
          </w:tcPr>
          <w:p w14:paraId="290A582A"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878" w:type="dxa"/>
            <w:tcBorders>
              <w:top w:val="nil"/>
              <w:left w:val="nil"/>
              <w:bottom w:val="nil"/>
              <w:right w:val="nil"/>
            </w:tcBorders>
            <w:shd w:val="clear" w:color="000000" w:fill="FFFFFF"/>
            <w:vAlign w:val="center"/>
            <w:hideMark/>
          </w:tcPr>
          <w:p w14:paraId="0CE4FD68" w14:textId="77777777" w:rsidR="00D028ED" w:rsidRPr="00C719E2" w:rsidRDefault="00D028ED" w:rsidP="00D028ED">
            <w:pPr>
              <w:tabs>
                <w:tab w:val="clear" w:pos="1134"/>
                <w:tab w:val="left" w:pos="1418"/>
              </w:tabs>
              <w:spacing w:after="200"/>
              <w:jc w:val="center"/>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r>
      <w:tr w:rsidR="00D028ED" w:rsidRPr="0097536F" w14:paraId="66E884C8" w14:textId="77777777" w:rsidTr="00642968">
        <w:trPr>
          <w:trHeight w:val="240"/>
        </w:trPr>
        <w:tc>
          <w:tcPr>
            <w:tcW w:w="5954" w:type="dxa"/>
            <w:tcBorders>
              <w:top w:val="nil"/>
              <w:left w:val="nil"/>
              <w:bottom w:val="nil"/>
              <w:right w:val="nil"/>
            </w:tcBorders>
            <w:shd w:val="clear" w:color="000000" w:fill="FFFFFF"/>
            <w:noWrap/>
            <w:vAlign w:val="center"/>
            <w:hideMark/>
          </w:tcPr>
          <w:p w14:paraId="1881E2C1" w14:textId="3331EE43"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222B35"/>
                <w:sz w:val="18"/>
                <w:szCs w:val="18"/>
                <w:lang w:val="es-ES" w:eastAsia="zh-CN"/>
              </w:rPr>
            </w:pPr>
            <w:r w:rsidRPr="00C719E2">
              <w:rPr>
                <w:rFonts w:asciiTheme="minorHAnsi" w:eastAsia="Times New Roman" w:hAnsiTheme="minorHAnsi" w:cstheme="minorHAnsi"/>
                <w:b/>
                <w:color w:val="222B35"/>
                <w:sz w:val="18"/>
                <w:szCs w:val="18"/>
                <w:lang w:val="es-ES"/>
              </w:rPr>
              <w:t xml:space="preserve">Partida I. </w:t>
            </w:r>
            <w:r w:rsidR="0045022F">
              <w:rPr>
                <w:rFonts w:asciiTheme="minorHAnsi" w:eastAsia="Times New Roman" w:hAnsiTheme="minorHAnsi" w:cstheme="minorHAnsi"/>
                <w:b/>
                <w:color w:val="222B35"/>
                <w:sz w:val="18"/>
                <w:szCs w:val="18"/>
                <w:lang w:val="es-ES"/>
              </w:rPr>
              <w:t>Objetivo a largo plazo 1</w:t>
            </w:r>
            <w:r w:rsidRPr="00C719E2">
              <w:rPr>
                <w:rFonts w:asciiTheme="minorHAnsi" w:eastAsia="Times New Roman" w:hAnsiTheme="minorHAnsi" w:cstheme="minorHAnsi"/>
                <w:b/>
                <w:color w:val="222B35"/>
                <w:sz w:val="18"/>
                <w:szCs w:val="18"/>
                <w:lang w:val="es-ES"/>
              </w:rPr>
              <w:t>. Mejora de la atención de las necesidades de la sociedad</w:t>
            </w:r>
          </w:p>
        </w:tc>
        <w:tc>
          <w:tcPr>
            <w:tcW w:w="276" w:type="dxa"/>
            <w:tcBorders>
              <w:top w:val="nil"/>
              <w:left w:val="nil"/>
              <w:bottom w:val="nil"/>
              <w:right w:val="nil"/>
            </w:tcBorders>
            <w:shd w:val="clear" w:color="000000" w:fill="FFFFFF"/>
            <w:noWrap/>
            <w:vAlign w:val="bottom"/>
            <w:hideMark/>
          </w:tcPr>
          <w:p w14:paraId="49E4CF5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69F2420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0DDBB3B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6" w:type="dxa"/>
            <w:tcBorders>
              <w:top w:val="nil"/>
              <w:left w:val="nil"/>
              <w:bottom w:val="nil"/>
              <w:right w:val="nil"/>
            </w:tcBorders>
            <w:shd w:val="clear" w:color="000000" w:fill="FFFFFF"/>
            <w:noWrap/>
            <w:vAlign w:val="bottom"/>
            <w:hideMark/>
          </w:tcPr>
          <w:p w14:paraId="408AAE5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234F8CF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878" w:type="dxa"/>
            <w:tcBorders>
              <w:top w:val="nil"/>
              <w:left w:val="nil"/>
              <w:bottom w:val="nil"/>
              <w:right w:val="nil"/>
            </w:tcBorders>
            <w:shd w:val="clear" w:color="000000" w:fill="FFFFFF"/>
            <w:noWrap/>
            <w:vAlign w:val="center"/>
            <w:hideMark/>
          </w:tcPr>
          <w:p w14:paraId="3DE074A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r>
      <w:tr w:rsidR="00D028ED" w:rsidRPr="00C719E2" w14:paraId="1C56C786" w14:textId="77777777" w:rsidTr="00642968">
        <w:trPr>
          <w:trHeight w:val="240"/>
        </w:trPr>
        <w:tc>
          <w:tcPr>
            <w:tcW w:w="5954" w:type="dxa"/>
            <w:tcBorders>
              <w:top w:val="nil"/>
              <w:left w:val="nil"/>
              <w:bottom w:val="nil"/>
              <w:right w:val="nil"/>
            </w:tcBorders>
            <w:shd w:val="clear" w:color="000000" w:fill="FFFFFF"/>
            <w:noWrap/>
            <w:vAlign w:val="center"/>
            <w:hideMark/>
          </w:tcPr>
          <w:p w14:paraId="013AE37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1.1 Sistemas de alerta temprana multirriesgos</w:t>
            </w:r>
          </w:p>
        </w:tc>
        <w:tc>
          <w:tcPr>
            <w:tcW w:w="276" w:type="dxa"/>
            <w:tcBorders>
              <w:top w:val="nil"/>
              <w:left w:val="nil"/>
              <w:bottom w:val="nil"/>
              <w:right w:val="nil"/>
            </w:tcBorders>
            <w:shd w:val="clear" w:color="000000" w:fill="FFFFFF"/>
            <w:noWrap/>
            <w:vAlign w:val="bottom"/>
            <w:hideMark/>
          </w:tcPr>
          <w:p w14:paraId="4B3635C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79B93D46" w14:textId="0B02CE8C"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18</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853,2 </w:t>
            </w:r>
          </w:p>
        </w:tc>
        <w:tc>
          <w:tcPr>
            <w:tcW w:w="266" w:type="dxa"/>
            <w:tcBorders>
              <w:top w:val="nil"/>
              <w:left w:val="nil"/>
              <w:bottom w:val="nil"/>
              <w:right w:val="nil"/>
            </w:tcBorders>
            <w:shd w:val="clear" w:color="000000" w:fill="FFFFFF"/>
            <w:noWrap/>
            <w:vAlign w:val="bottom"/>
            <w:hideMark/>
          </w:tcPr>
          <w:p w14:paraId="52709E0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456AD565" w14:textId="612E54FF"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16</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527,3 </w:t>
            </w:r>
          </w:p>
        </w:tc>
        <w:tc>
          <w:tcPr>
            <w:tcW w:w="266" w:type="dxa"/>
            <w:tcBorders>
              <w:top w:val="nil"/>
              <w:left w:val="nil"/>
              <w:bottom w:val="nil"/>
              <w:right w:val="nil"/>
            </w:tcBorders>
            <w:shd w:val="clear" w:color="000000" w:fill="FFFFFF"/>
            <w:noWrap/>
            <w:vAlign w:val="bottom"/>
            <w:hideMark/>
          </w:tcPr>
          <w:p w14:paraId="2E896AA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68CD0572" w14:textId="40FF4082"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2</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325,9 </w:t>
            </w:r>
          </w:p>
        </w:tc>
      </w:tr>
      <w:tr w:rsidR="00D028ED" w:rsidRPr="00C719E2" w14:paraId="51E5E174" w14:textId="77777777" w:rsidTr="00642968">
        <w:trPr>
          <w:trHeight w:val="240"/>
        </w:trPr>
        <w:tc>
          <w:tcPr>
            <w:tcW w:w="5954" w:type="dxa"/>
            <w:tcBorders>
              <w:top w:val="nil"/>
              <w:left w:val="nil"/>
              <w:bottom w:val="nil"/>
              <w:right w:val="nil"/>
            </w:tcBorders>
            <w:shd w:val="clear" w:color="000000" w:fill="FFFFFF"/>
            <w:noWrap/>
            <w:vAlign w:val="center"/>
            <w:hideMark/>
          </w:tcPr>
          <w:p w14:paraId="483122B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1.2 Información y servicios climáticos</w:t>
            </w:r>
          </w:p>
        </w:tc>
        <w:tc>
          <w:tcPr>
            <w:tcW w:w="276" w:type="dxa"/>
            <w:tcBorders>
              <w:top w:val="nil"/>
              <w:left w:val="nil"/>
              <w:bottom w:val="nil"/>
              <w:right w:val="nil"/>
            </w:tcBorders>
            <w:shd w:val="clear" w:color="000000" w:fill="FFFFFF"/>
            <w:noWrap/>
            <w:vAlign w:val="bottom"/>
            <w:hideMark/>
          </w:tcPr>
          <w:p w14:paraId="200E9C4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6B8F2889" w14:textId="7A2FE036"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17</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449,2 </w:t>
            </w:r>
          </w:p>
        </w:tc>
        <w:tc>
          <w:tcPr>
            <w:tcW w:w="266" w:type="dxa"/>
            <w:tcBorders>
              <w:top w:val="nil"/>
              <w:left w:val="nil"/>
              <w:bottom w:val="nil"/>
              <w:right w:val="nil"/>
            </w:tcBorders>
            <w:shd w:val="clear" w:color="000000" w:fill="FFFFFF"/>
            <w:noWrap/>
            <w:vAlign w:val="bottom"/>
            <w:hideMark/>
          </w:tcPr>
          <w:p w14:paraId="6E13058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6AC9071A" w14:textId="798198B1"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17</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296,7 </w:t>
            </w:r>
          </w:p>
        </w:tc>
        <w:tc>
          <w:tcPr>
            <w:tcW w:w="266" w:type="dxa"/>
            <w:tcBorders>
              <w:top w:val="nil"/>
              <w:left w:val="nil"/>
              <w:bottom w:val="nil"/>
              <w:right w:val="nil"/>
            </w:tcBorders>
            <w:shd w:val="clear" w:color="000000" w:fill="FFFFFF"/>
            <w:noWrap/>
            <w:vAlign w:val="bottom"/>
            <w:hideMark/>
          </w:tcPr>
          <w:p w14:paraId="3D226DA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6CD56739"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152,5</w:t>
            </w:r>
          </w:p>
        </w:tc>
      </w:tr>
      <w:tr w:rsidR="00D028ED" w:rsidRPr="00C719E2" w14:paraId="5B754D1B" w14:textId="77777777" w:rsidTr="00642968">
        <w:trPr>
          <w:trHeight w:val="240"/>
        </w:trPr>
        <w:tc>
          <w:tcPr>
            <w:tcW w:w="5954" w:type="dxa"/>
            <w:tcBorders>
              <w:top w:val="nil"/>
              <w:left w:val="nil"/>
              <w:bottom w:val="nil"/>
              <w:right w:val="nil"/>
            </w:tcBorders>
            <w:shd w:val="clear" w:color="000000" w:fill="FFFFFF"/>
            <w:noWrap/>
            <w:vAlign w:val="center"/>
            <w:hideMark/>
          </w:tcPr>
          <w:p w14:paraId="7B0700C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1.3 Gestión y adaptación del agua</w:t>
            </w:r>
          </w:p>
        </w:tc>
        <w:tc>
          <w:tcPr>
            <w:tcW w:w="276" w:type="dxa"/>
            <w:tcBorders>
              <w:top w:val="nil"/>
              <w:left w:val="nil"/>
              <w:bottom w:val="nil"/>
              <w:right w:val="nil"/>
            </w:tcBorders>
            <w:shd w:val="clear" w:color="000000" w:fill="FFFFFF"/>
            <w:noWrap/>
            <w:vAlign w:val="bottom"/>
            <w:hideMark/>
          </w:tcPr>
          <w:p w14:paraId="56B5796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0AFF5DBB" w14:textId="4F756DEC"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12</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336,8 </w:t>
            </w:r>
          </w:p>
        </w:tc>
        <w:tc>
          <w:tcPr>
            <w:tcW w:w="266" w:type="dxa"/>
            <w:tcBorders>
              <w:top w:val="nil"/>
              <w:left w:val="nil"/>
              <w:bottom w:val="nil"/>
              <w:right w:val="nil"/>
            </w:tcBorders>
            <w:shd w:val="clear" w:color="000000" w:fill="FFFFFF"/>
            <w:noWrap/>
            <w:vAlign w:val="bottom"/>
            <w:hideMark/>
          </w:tcPr>
          <w:p w14:paraId="01BB855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11F6E2C7" w14:textId="0B42EBAA"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10</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837,8 </w:t>
            </w:r>
          </w:p>
        </w:tc>
        <w:tc>
          <w:tcPr>
            <w:tcW w:w="266" w:type="dxa"/>
            <w:tcBorders>
              <w:top w:val="nil"/>
              <w:left w:val="nil"/>
              <w:bottom w:val="nil"/>
              <w:right w:val="nil"/>
            </w:tcBorders>
            <w:shd w:val="clear" w:color="000000" w:fill="FFFFFF"/>
            <w:noWrap/>
            <w:vAlign w:val="bottom"/>
            <w:hideMark/>
          </w:tcPr>
          <w:p w14:paraId="4766980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5E41E90" w14:textId="2EC3C6F8"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499,0 </w:t>
            </w:r>
          </w:p>
        </w:tc>
      </w:tr>
      <w:tr w:rsidR="00D028ED" w:rsidRPr="00C719E2" w14:paraId="7A4837F4" w14:textId="77777777" w:rsidTr="00642968">
        <w:trPr>
          <w:trHeight w:val="240"/>
        </w:trPr>
        <w:tc>
          <w:tcPr>
            <w:tcW w:w="5954" w:type="dxa"/>
            <w:tcBorders>
              <w:top w:val="nil"/>
              <w:left w:val="nil"/>
              <w:bottom w:val="nil"/>
              <w:right w:val="nil"/>
            </w:tcBorders>
            <w:shd w:val="clear" w:color="000000" w:fill="FFFFFF"/>
            <w:noWrap/>
            <w:vAlign w:val="center"/>
            <w:hideMark/>
          </w:tcPr>
          <w:p w14:paraId="3E1BF9F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1.4 Información y servicios meteorológicos</w:t>
            </w:r>
          </w:p>
        </w:tc>
        <w:tc>
          <w:tcPr>
            <w:tcW w:w="276" w:type="dxa"/>
            <w:tcBorders>
              <w:top w:val="nil"/>
              <w:left w:val="nil"/>
              <w:bottom w:val="nil"/>
              <w:right w:val="nil"/>
            </w:tcBorders>
            <w:shd w:val="clear" w:color="000000" w:fill="FFFFFF"/>
            <w:noWrap/>
            <w:vAlign w:val="bottom"/>
            <w:hideMark/>
          </w:tcPr>
          <w:p w14:paraId="525288C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4355E54D" w14:textId="5F232400"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9</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712,0 </w:t>
            </w:r>
          </w:p>
        </w:tc>
        <w:tc>
          <w:tcPr>
            <w:tcW w:w="266" w:type="dxa"/>
            <w:tcBorders>
              <w:top w:val="nil"/>
              <w:left w:val="nil"/>
              <w:bottom w:val="nil"/>
              <w:right w:val="nil"/>
            </w:tcBorders>
            <w:shd w:val="clear" w:color="000000" w:fill="FFFFFF"/>
            <w:noWrap/>
            <w:vAlign w:val="bottom"/>
            <w:hideMark/>
          </w:tcPr>
          <w:p w14:paraId="514A9ED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36BCEFE8" w14:textId="5AAE7AF2"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9</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712,0 </w:t>
            </w:r>
          </w:p>
        </w:tc>
        <w:tc>
          <w:tcPr>
            <w:tcW w:w="266" w:type="dxa"/>
            <w:tcBorders>
              <w:top w:val="nil"/>
              <w:left w:val="nil"/>
              <w:bottom w:val="nil"/>
              <w:right w:val="nil"/>
            </w:tcBorders>
            <w:shd w:val="clear" w:color="000000" w:fill="FFFFFF"/>
            <w:noWrap/>
            <w:vAlign w:val="bottom"/>
            <w:hideMark/>
          </w:tcPr>
          <w:p w14:paraId="094C618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auto" w:fill="auto"/>
            <w:noWrap/>
            <w:vAlign w:val="center"/>
            <w:hideMark/>
          </w:tcPr>
          <w:p w14:paraId="52469ED5"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w:t>
            </w:r>
          </w:p>
        </w:tc>
      </w:tr>
      <w:tr w:rsidR="00D028ED" w:rsidRPr="00C719E2" w14:paraId="360DCC46" w14:textId="77777777" w:rsidTr="00642968">
        <w:trPr>
          <w:trHeight w:val="240"/>
        </w:trPr>
        <w:tc>
          <w:tcPr>
            <w:tcW w:w="5954" w:type="dxa"/>
            <w:tcBorders>
              <w:top w:val="nil"/>
              <w:left w:val="nil"/>
              <w:bottom w:val="nil"/>
              <w:right w:val="nil"/>
            </w:tcBorders>
            <w:shd w:val="clear" w:color="auto" w:fill="auto"/>
            <w:noWrap/>
            <w:vAlign w:val="center"/>
            <w:hideMark/>
          </w:tcPr>
          <w:p w14:paraId="3F977F0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1.5 Impactos de la criosfera y de las fases posteriores</w:t>
            </w:r>
          </w:p>
        </w:tc>
        <w:tc>
          <w:tcPr>
            <w:tcW w:w="276" w:type="dxa"/>
            <w:tcBorders>
              <w:top w:val="nil"/>
              <w:left w:val="nil"/>
              <w:bottom w:val="nil"/>
              <w:right w:val="nil"/>
            </w:tcBorders>
            <w:shd w:val="clear" w:color="000000" w:fill="FFFFFF"/>
            <w:noWrap/>
            <w:vAlign w:val="bottom"/>
            <w:hideMark/>
          </w:tcPr>
          <w:p w14:paraId="31F1254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single" w:sz="4" w:space="0" w:color="auto"/>
              <w:right w:val="nil"/>
            </w:tcBorders>
            <w:shd w:val="clear" w:color="000000" w:fill="FFFFFF"/>
            <w:noWrap/>
            <w:vAlign w:val="center"/>
            <w:hideMark/>
          </w:tcPr>
          <w:p w14:paraId="0B2F162B" w14:textId="4ECF5740"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244,9 </w:t>
            </w:r>
          </w:p>
        </w:tc>
        <w:tc>
          <w:tcPr>
            <w:tcW w:w="266" w:type="dxa"/>
            <w:tcBorders>
              <w:top w:val="nil"/>
              <w:left w:val="nil"/>
              <w:bottom w:val="nil"/>
              <w:right w:val="nil"/>
            </w:tcBorders>
            <w:shd w:val="clear" w:color="000000" w:fill="FFFFFF"/>
            <w:noWrap/>
            <w:vAlign w:val="bottom"/>
            <w:hideMark/>
          </w:tcPr>
          <w:p w14:paraId="2872242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4" w:space="0" w:color="auto"/>
              <w:right w:val="nil"/>
            </w:tcBorders>
            <w:shd w:val="clear" w:color="000000" w:fill="FFFFFF"/>
            <w:noWrap/>
            <w:vAlign w:val="center"/>
            <w:hideMark/>
          </w:tcPr>
          <w:p w14:paraId="3DE185F2"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w:t>
            </w:r>
          </w:p>
        </w:tc>
        <w:tc>
          <w:tcPr>
            <w:tcW w:w="266" w:type="dxa"/>
            <w:tcBorders>
              <w:top w:val="nil"/>
              <w:left w:val="nil"/>
              <w:bottom w:val="nil"/>
              <w:right w:val="nil"/>
            </w:tcBorders>
            <w:shd w:val="clear" w:color="000000" w:fill="FFFFFF"/>
            <w:noWrap/>
            <w:vAlign w:val="bottom"/>
            <w:hideMark/>
          </w:tcPr>
          <w:p w14:paraId="0FDC5AF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4" w:space="0" w:color="auto"/>
              <w:right w:val="nil"/>
            </w:tcBorders>
            <w:shd w:val="clear" w:color="000000" w:fill="FFFFFF"/>
            <w:noWrap/>
            <w:vAlign w:val="center"/>
            <w:hideMark/>
          </w:tcPr>
          <w:p w14:paraId="139AD5EE" w14:textId="2614883C"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244,9 </w:t>
            </w:r>
          </w:p>
        </w:tc>
      </w:tr>
      <w:tr w:rsidR="00D028ED" w:rsidRPr="00C719E2" w14:paraId="67D22160" w14:textId="77777777" w:rsidTr="00642968">
        <w:trPr>
          <w:trHeight w:val="240"/>
        </w:trPr>
        <w:tc>
          <w:tcPr>
            <w:tcW w:w="5954" w:type="dxa"/>
            <w:tcBorders>
              <w:top w:val="nil"/>
              <w:left w:val="nil"/>
              <w:bottom w:val="nil"/>
              <w:right w:val="nil"/>
            </w:tcBorders>
            <w:shd w:val="clear" w:color="000000" w:fill="FFFFFF"/>
            <w:noWrap/>
            <w:vAlign w:val="center"/>
            <w:hideMark/>
          </w:tcPr>
          <w:p w14:paraId="4A6277D7"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Subtotal</w:t>
            </w:r>
          </w:p>
        </w:tc>
        <w:tc>
          <w:tcPr>
            <w:tcW w:w="276" w:type="dxa"/>
            <w:tcBorders>
              <w:top w:val="nil"/>
              <w:left w:val="nil"/>
              <w:bottom w:val="nil"/>
              <w:right w:val="nil"/>
            </w:tcBorders>
            <w:shd w:val="clear" w:color="000000" w:fill="FFFFFF"/>
            <w:noWrap/>
            <w:vAlign w:val="bottom"/>
            <w:hideMark/>
          </w:tcPr>
          <w:p w14:paraId="3E9C47D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0C7D3A62" w14:textId="320D2C5D"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59</w:t>
            </w:r>
            <w:r w:rsidR="00D74FED">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596,1 </w:t>
            </w:r>
          </w:p>
        </w:tc>
        <w:tc>
          <w:tcPr>
            <w:tcW w:w="266" w:type="dxa"/>
            <w:tcBorders>
              <w:top w:val="nil"/>
              <w:left w:val="nil"/>
              <w:bottom w:val="nil"/>
              <w:right w:val="nil"/>
            </w:tcBorders>
            <w:shd w:val="clear" w:color="000000" w:fill="FFFFFF"/>
            <w:noWrap/>
            <w:vAlign w:val="bottom"/>
            <w:hideMark/>
          </w:tcPr>
          <w:p w14:paraId="3B35805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0E887E8B" w14:textId="44B4FD63"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54</w:t>
            </w:r>
            <w:r w:rsidR="00D74FED">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373,8 </w:t>
            </w:r>
          </w:p>
        </w:tc>
        <w:tc>
          <w:tcPr>
            <w:tcW w:w="266" w:type="dxa"/>
            <w:tcBorders>
              <w:top w:val="nil"/>
              <w:left w:val="nil"/>
              <w:bottom w:val="nil"/>
              <w:right w:val="nil"/>
            </w:tcBorders>
            <w:shd w:val="clear" w:color="000000" w:fill="FFFFFF"/>
            <w:noWrap/>
            <w:vAlign w:val="bottom"/>
            <w:hideMark/>
          </w:tcPr>
          <w:p w14:paraId="256B492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1FE32368" w14:textId="646E24A0"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5</w:t>
            </w:r>
            <w:r w:rsidR="00D74FED">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222,3 </w:t>
            </w:r>
          </w:p>
        </w:tc>
      </w:tr>
      <w:tr w:rsidR="00D028ED" w:rsidRPr="00C719E2" w14:paraId="11F7B0C7" w14:textId="77777777" w:rsidTr="00642968">
        <w:trPr>
          <w:trHeight w:val="240"/>
        </w:trPr>
        <w:tc>
          <w:tcPr>
            <w:tcW w:w="5954" w:type="dxa"/>
            <w:tcBorders>
              <w:top w:val="nil"/>
              <w:left w:val="nil"/>
              <w:bottom w:val="nil"/>
              <w:right w:val="nil"/>
            </w:tcBorders>
            <w:shd w:val="clear" w:color="000000" w:fill="FFFFFF"/>
            <w:noWrap/>
            <w:vAlign w:val="bottom"/>
            <w:hideMark/>
          </w:tcPr>
          <w:p w14:paraId="03573C7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44B84E5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6DA3468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2BD4EBA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bottom"/>
            <w:hideMark/>
          </w:tcPr>
          <w:p w14:paraId="22622ED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2BAB52D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66958AB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97536F" w14:paraId="3412967F" w14:textId="77777777" w:rsidTr="00642968">
        <w:trPr>
          <w:trHeight w:val="240"/>
        </w:trPr>
        <w:tc>
          <w:tcPr>
            <w:tcW w:w="5954" w:type="dxa"/>
            <w:tcBorders>
              <w:top w:val="nil"/>
              <w:left w:val="nil"/>
              <w:bottom w:val="nil"/>
              <w:right w:val="nil"/>
            </w:tcBorders>
            <w:shd w:val="clear" w:color="000000" w:fill="FFFFFF"/>
            <w:noWrap/>
            <w:vAlign w:val="center"/>
            <w:hideMark/>
          </w:tcPr>
          <w:p w14:paraId="66458667" w14:textId="370F2F2F" w:rsidR="00D028ED" w:rsidRPr="00C719E2" w:rsidRDefault="00D12488" w:rsidP="00D028ED">
            <w:pPr>
              <w:tabs>
                <w:tab w:val="clear" w:pos="1134"/>
                <w:tab w:val="left" w:pos="1418"/>
              </w:tabs>
              <w:spacing w:after="200"/>
              <w:jc w:val="left"/>
              <w:rPr>
                <w:rFonts w:asciiTheme="minorHAnsi" w:eastAsia="Times New Roman" w:hAnsiTheme="minorHAnsi" w:cstheme="minorHAnsi"/>
                <w:b/>
                <w:bCs/>
                <w:color w:val="222B35"/>
                <w:sz w:val="18"/>
                <w:szCs w:val="18"/>
                <w:lang w:val="es-ES"/>
              </w:rPr>
            </w:pPr>
            <w:r w:rsidRPr="00C719E2">
              <w:rPr>
                <w:rFonts w:asciiTheme="minorHAnsi" w:eastAsia="Times New Roman" w:hAnsiTheme="minorHAnsi" w:cstheme="minorHAnsi"/>
                <w:b/>
                <w:color w:val="222B35"/>
                <w:sz w:val="18"/>
                <w:szCs w:val="18"/>
                <w:lang w:val="es-ES"/>
              </w:rPr>
              <w:t>P</w:t>
            </w:r>
            <w:r w:rsidRPr="00D12488">
              <w:rPr>
                <w:rFonts w:asciiTheme="minorHAnsi" w:eastAsia="Times New Roman" w:hAnsiTheme="minorHAnsi" w:cstheme="minorHAnsi"/>
                <w:b/>
                <w:color w:val="222B35"/>
                <w:sz w:val="18"/>
                <w:szCs w:val="18"/>
                <w:lang w:val="es-ES"/>
              </w:rPr>
              <w:t xml:space="preserve">artida </w:t>
            </w:r>
            <w:r w:rsidR="00D028ED" w:rsidRPr="00D12488">
              <w:rPr>
                <w:rFonts w:asciiTheme="minorHAnsi" w:hAnsiTheme="minorHAnsi" w:cstheme="minorHAnsi"/>
                <w:b/>
                <w:sz w:val="18"/>
                <w:szCs w:val="18"/>
                <w:lang w:val="es-ES"/>
              </w:rPr>
              <w:t xml:space="preserve">II.  </w:t>
            </w:r>
            <w:r w:rsidR="00E755CF" w:rsidRPr="00D12488">
              <w:rPr>
                <w:rFonts w:asciiTheme="minorHAnsi" w:hAnsiTheme="minorHAnsi" w:cstheme="minorHAnsi"/>
                <w:b/>
                <w:sz w:val="18"/>
                <w:szCs w:val="18"/>
                <w:lang w:val="es-ES"/>
              </w:rPr>
              <w:t>Objet</w:t>
            </w:r>
            <w:r w:rsidR="00E755CF">
              <w:rPr>
                <w:rFonts w:asciiTheme="minorHAnsi" w:hAnsiTheme="minorHAnsi" w:cstheme="minorHAnsi"/>
                <w:b/>
                <w:sz w:val="18"/>
                <w:szCs w:val="18"/>
                <w:lang w:val="es-ES"/>
              </w:rPr>
              <w:t>ivo</w:t>
            </w:r>
            <w:r w:rsidR="00D028ED" w:rsidRPr="00C719E2">
              <w:rPr>
                <w:rFonts w:asciiTheme="minorHAnsi" w:hAnsiTheme="minorHAnsi" w:cstheme="minorHAnsi"/>
                <w:b/>
                <w:sz w:val="18"/>
                <w:szCs w:val="18"/>
                <w:lang w:val="es-ES"/>
              </w:rPr>
              <w:t xml:space="preserve"> a largo plazo 2</w:t>
            </w:r>
            <w:r w:rsidR="00D028ED" w:rsidRPr="00E96C81">
              <w:rPr>
                <w:rFonts w:asciiTheme="minorHAnsi" w:hAnsiTheme="minorHAnsi" w:cstheme="minorHAnsi"/>
                <w:b/>
                <w:sz w:val="18"/>
                <w:szCs w:val="18"/>
                <w:lang w:val="es-ES"/>
              </w:rPr>
              <w:t>.  Mejora de las observaciones y las predicciones del sistema Tierra</w:t>
            </w:r>
          </w:p>
        </w:tc>
        <w:tc>
          <w:tcPr>
            <w:tcW w:w="276" w:type="dxa"/>
            <w:tcBorders>
              <w:top w:val="nil"/>
              <w:left w:val="nil"/>
              <w:bottom w:val="nil"/>
              <w:right w:val="nil"/>
            </w:tcBorders>
            <w:shd w:val="clear" w:color="000000" w:fill="FFFFFF"/>
            <w:noWrap/>
            <w:vAlign w:val="bottom"/>
            <w:hideMark/>
          </w:tcPr>
          <w:p w14:paraId="1441FB8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425B494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4316FD7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6" w:type="dxa"/>
            <w:tcBorders>
              <w:top w:val="nil"/>
              <w:left w:val="nil"/>
              <w:bottom w:val="nil"/>
              <w:right w:val="nil"/>
            </w:tcBorders>
            <w:shd w:val="clear" w:color="000000" w:fill="FFFFFF"/>
            <w:noWrap/>
            <w:vAlign w:val="bottom"/>
            <w:hideMark/>
          </w:tcPr>
          <w:p w14:paraId="64067B7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67BAAD9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878" w:type="dxa"/>
            <w:tcBorders>
              <w:top w:val="nil"/>
              <w:left w:val="nil"/>
              <w:bottom w:val="nil"/>
              <w:right w:val="nil"/>
            </w:tcBorders>
            <w:shd w:val="clear" w:color="000000" w:fill="FFFFFF"/>
            <w:noWrap/>
            <w:vAlign w:val="center"/>
            <w:hideMark/>
          </w:tcPr>
          <w:p w14:paraId="7FA33AC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r>
      <w:tr w:rsidR="00D028ED" w:rsidRPr="00C719E2" w14:paraId="743B8699" w14:textId="77777777" w:rsidTr="00642968">
        <w:trPr>
          <w:trHeight w:val="240"/>
        </w:trPr>
        <w:tc>
          <w:tcPr>
            <w:tcW w:w="5954" w:type="dxa"/>
            <w:tcBorders>
              <w:top w:val="nil"/>
              <w:left w:val="nil"/>
              <w:bottom w:val="nil"/>
              <w:right w:val="nil"/>
            </w:tcBorders>
            <w:shd w:val="clear" w:color="000000" w:fill="FFFFFF"/>
            <w:noWrap/>
            <w:vAlign w:val="center"/>
            <w:hideMark/>
          </w:tcPr>
          <w:p w14:paraId="4824549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2.1 Adquisición de datos de observación del sistema Tierra</w:t>
            </w:r>
          </w:p>
        </w:tc>
        <w:tc>
          <w:tcPr>
            <w:tcW w:w="276" w:type="dxa"/>
            <w:tcBorders>
              <w:top w:val="nil"/>
              <w:left w:val="nil"/>
              <w:bottom w:val="nil"/>
              <w:right w:val="nil"/>
            </w:tcBorders>
            <w:shd w:val="clear" w:color="000000" w:fill="FFFFFF"/>
            <w:noWrap/>
            <w:vAlign w:val="bottom"/>
            <w:hideMark/>
          </w:tcPr>
          <w:p w14:paraId="34CDDF2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58F69AC8" w14:textId="7A598DB4"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33</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460,2 </w:t>
            </w:r>
          </w:p>
        </w:tc>
        <w:tc>
          <w:tcPr>
            <w:tcW w:w="266" w:type="dxa"/>
            <w:tcBorders>
              <w:top w:val="nil"/>
              <w:left w:val="nil"/>
              <w:bottom w:val="nil"/>
              <w:right w:val="nil"/>
            </w:tcBorders>
            <w:shd w:val="clear" w:color="000000" w:fill="FFFFFF"/>
            <w:noWrap/>
            <w:vAlign w:val="bottom"/>
            <w:hideMark/>
          </w:tcPr>
          <w:p w14:paraId="079CCCA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25645FB7" w14:textId="475B4ABA"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30</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070,5 </w:t>
            </w:r>
          </w:p>
        </w:tc>
        <w:tc>
          <w:tcPr>
            <w:tcW w:w="266" w:type="dxa"/>
            <w:tcBorders>
              <w:top w:val="nil"/>
              <w:left w:val="nil"/>
              <w:bottom w:val="nil"/>
              <w:right w:val="nil"/>
            </w:tcBorders>
            <w:shd w:val="clear" w:color="000000" w:fill="FFFFFF"/>
            <w:noWrap/>
            <w:vAlign w:val="bottom"/>
            <w:hideMark/>
          </w:tcPr>
          <w:p w14:paraId="16B8ADA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5EB702F" w14:textId="2476964C"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389,7 </w:t>
            </w:r>
          </w:p>
        </w:tc>
      </w:tr>
      <w:tr w:rsidR="00D028ED" w:rsidRPr="00C719E2" w14:paraId="2016AAE1" w14:textId="77777777" w:rsidTr="00642968">
        <w:trPr>
          <w:trHeight w:val="240"/>
        </w:trPr>
        <w:tc>
          <w:tcPr>
            <w:tcW w:w="5954" w:type="dxa"/>
            <w:tcBorders>
              <w:top w:val="nil"/>
              <w:left w:val="nil"/>
              <w:bottom w:val="nil"/>
              <w:right w:val="nil"/>
            </w:tcBorders>
            <w:shd w:val="clear" w:color="000000" w:fill="FFFFFF"/>
            <w:noWrap/>
            <w:vAlign w:val="center"/>
            <w:hideMark/>
          </w:tcPr>
          <w:p w14:paraId="2AA79F6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2.2 Acceso al intercambio y la gestión de datos de observación del sistema Tierra</w:t>
            </w:r>
          </w:p>
        </w:tc>
        <w:tc>
          <w:tcPr>
            <w:tcW w:w="276" w:type="dxa"/>
            <w:tcBorders>
              <w:top w:val="nil"/>
              <w:left w:val="nil"/>
              <w:bottom w:val="nil"/>
              <w:right w:val="nil"/>
            </w:tcBorders>
            <w:shd w:val="clear" w:color="000000" w:fill="FFFFFF"/>
            <w:noWrap/>
            <w:vAlign w:val="bottom"/>
            <w:hideMark/>
          </w:tcPr>
          <w:p w14:paraId="7B9A398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669EFD50" w14:textId="1EF194B5"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11</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950,8 </w:t>
            </w:r>
          </w:p>
        </w:tc>
        <w:tc>
          <w:tcPr>
            <w:tcW w:w="266" w:type="dxa"/>
            <w:tcBorders>
              <w:top w:val="nil"/>
              <w:left w:val="nil"/>
              <w:bottom w:val="nil"/>
              <w:right w:val="nil"/>
            </w:tcBorders>
            <w:shd w:val="clear" w:color="000000" w:fill="FFFFFF"/>
            <w:noWrap/>
            <w:vAlign w:val="bottom"/>
            <w:hideMark/>
          </w:tcPr>
          <w:p w14:paraId="7C68C24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59F2CE73" w14:textId="77F25483"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11</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365,4 </w:t>
            </w:r>
          </w:p>
        </w:tc>
        <w:tc>
          <w:tcPr>
            <w:tcW w:w="266" w:type="dxa"/>
            <w:tcBorders>
              <w:top w:val="nil"/>
              <w:left w:val="nil"/>
              <w:bottom w:val="nil"/>
              <w:right w:val="nil"/>
            </w:tcBorders>
            <w:shd w:val="clear" w:color="000000" w:fill="FFFFFF"/>
            <w:noWrap/>
            <w:vAlign w:val="bottom"/>
            <w:hideMark/>
          </w:tcPr>
          <w:p w14:paraId="52E700E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031A3959"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 xml:space="preserve">585,4 </w:t>
            </w:r>
          </w:p>
        </w:tc>
      </w:tr>
      <w:tr w:rsidR="00D028ED" w:rsidRPr="00C719E2" w14:paraId="638B23FD" w14:textId="77777777" w:rsidTr="00642968">
        <w:trPr>
          <w:trHeight w:val="240"/>
        </w:trPr>
        <w:tc>
          <w:tcPr>
            <w:tcW w:w="6228" w:type="dxa"/>
            <w:gridSpan w:val="2"/>
            <w:tcBorders>
              <w:top w:val="nil"/>
              <w:left w:val="nil"/>
              <w:bottom w:val="nil"/>
              <w:right w:val="nil"/>
            </w:tcBorders>
            <w:shd w:val="clear" w:color="000000" w:fill="FFFFFF"/>
            <w:noWrap/>
            <w:vAlign w:val="center"/>
            <w:hideMark/>
          </w:tcPr>
          <w:p w14:paraId="20A63F4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2.3 Acceso y utilización de productos numéricos de análisis y predicción del sistema Tierra</w:t>
            </w:r>
          </w:p>
        </w:tc>
        <w:tc>
          <w:tcPr>
            <w:tcW w:w="985" w:type="dxa"/>
            <w:tcBorders>
              <w:top w:val="nil"/>
              <w:left w:val="nil"/>
              <w:bottom w:val="single" w:sz="4" w:space="0" w:color="auto"/>
              <w:right w:val="nil"/>
            </w:tcBorders>
            <w:shd w:val="clear" w:color="000000" w:fill="FFFFFF"/>
            <w:noWrap/>
            <w:vAlign w:val="center"/>
            <w:hideMark/>
          </w:tcPr>
          <w:p w14:paraId="24D6407D" w14:textId="0C149273"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8</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928,0 </w:t>
            </w:r>
          </w:p>
        </w:tc>
        <w:tc>
          <w:tcPr>
            <w:tcW w:w="266" w:type="dxa"/>
            <w:tcBorders>
              <w:top w:val="nil"/>
              <w:left w:val="nil"/>
              <w:bottom w:val="nil"/>
              <w:right w:val="nil"/>
            </w:tcBorders>
            <w:shd w:val="clear" w:color="000000" w:fill="FFFFFF"/>
            <w:noWrap/>
            <w:vAlign w:val="bottom"/>
            <w:hideMark/>
          </w:tcPr>
          <w:p w14:paraId="4A74D00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4" w:space="0" w:color="auto"/>
              <w:right w:val="nil"/>
            </w:tcBorders>
            <w:shd w:val="clear" w:color="000000" w:fill="FFFFFF"/>
            <w:noWrap/>
            <w:vAlign w:val="center"/>
            <w:hideMark/>
          </w:tcPr>
          <w:p w14:paraId="7E5C92F9" w14:textId="0091E21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7</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589,7 </w:t>
            </w:r>
          </w:p>
        </w:tc>
        <w:tc>
          <w:tcPr>
            <w:tcW w:w="266" w:type="dxa"/>
            <w:tcBorders>
              <w:top w:val="nil"/>
              <w:left w:val="nil"/>
              <w:bottom w:val="nil"/>
              <w:right w:val="nil"/>
            </w:tcBorders>
            <w:shd w:val="clear" w:color="000000" w:fill="FFFFFF"/>
            <w:noWrap/>
            <w:vAlign w:val="bottom"/>
            <w:hideMark/>
          </w:tcPr>
          <w:p w14:paraId="407F47C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4" w:space="0" w:color="auto"/>
              <w:right w:val="nil"/>
            </w:tcBorders>
            <w:shd w:val="clear" w:color="000000" w:fill="FFFFFF"/>
            <w:noWrap/>
            <w:vAlign w:val="center"/>
            <w:hideMark/>
          </w:tcPr>
          <w:p w14:paraId="6DF177BB" w14:textId="1ADB3552"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338,3 </w:t>
            </w:r>
          </w:p>
        </w:tc>
      </w:tr>
      <w:tr w:rsidR="00D028ED" w:rsidRPr="00C719E2" w14:paraId="0B81F3BE" w14:textId="77777777" w:rsidTr="00642968">
        <w:trPr>
          <w:trHeight w:val="240"/>
        </w:trPr>
        <w:tc>
          <w:tcPr>
            <w:tcW w:w="5954" w:type="dxa"/>
            <w:tcBorders>
              <w:top w:val="nil"/>
              <w:left w:val="nil"/>
              <w:bottom w:val="nil"/>
              <w:right w:val="nil"/>
            </w:tcBorders>
            <w:shd w:val="clear" w:color="000000" w:fill="FFFFFF"/>
            <w:noWrap/>
            <w:vAlign w:val="center"/>
            <w:hideMark/>
          </w:tcPr>
          <w:p w14:paraId="6BF07FD8" w14:textId="222ED032"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Subtotal</w:t>
            </w:r>
          </w:p>
        </w:tc>
        <w:tc>
          <w:tcPr>
            <w:tcW w:w="276" w:type="dxa"/>
            <w:tcBorders>
              <w:top w:val="nil"/>
              <w:left w:val="nil"/>
              <w:bottom w:val="nil"/>
              <w:right w:val="nil"/>
            </w:tcBorders>
            <w:shd w:val="clear" w:color="000000" w:fill="FFFFFF"/>
            <w:noWrap/>
            <w:vAlign w:val="bottom"/>
            <w:hideMark/>
          </w:tcPr>
          <w:p w14:paraId="046560A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4038CE57" w14:textId="221E6F8C"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54</w:t>
            </w:r>
            <w:r w:rsidR="00D74FED">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339,0 </w:t>
            </w:r>
          </w:p>
        </w:tc>
        <w:tc>
          <w:tcPr>
            <w:tcW w:w="266" w:type="dxa"/>
            <w:tcBorders>
              <w:top w:val="nil"/>
              <w:left w:val="nil"/>
              <w:bottom w:val="nil"/>
              <w:right w:val="nil"/>
            </w:tcBorders>
            <w:shd w:val="clear" w:color="000000" w:fill="FFFFFF"/>
            <w:noWrap/>
            <w:vAlign w:val="bottom"/>
            <w:hideMark/>
          </w:tcPr>
          <w:p w14:paraId="5E50AEE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5851CE52" w14:textId="0B18B9DD"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49</w:t>
            </w:r>
            <w:r w:rsidR="00D74FED">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025,6 </w:t>
            </w:r>
          </w:p>
        </w:tc>
        <w:tc>
          <w:tcPr>
            <w:tcW w:w="266" w:type="dxa"/>
            <w:tcBorders>
              <w:top w:val="nil"/>
              <w:left w:val="nil"/>
              <w:bottom w:val="nil"/>
              <w:right w:val="nil"/>
            </w:tcBorders>
            <w:shd w:val="clear" w:color="000000" w:fill="FFFFFF"/>
            <w:noWrap/>
            <w:vAlign w:val="bottom"/>
            <w:hideMark/>
          </w:tcPr>
          <w:p w14:paraId="5564FEC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1E8FBE3D" w14:textId="45DEB7FF"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5</w:t>
            </w:r>
            <w:r w:rsidR="00D74FED">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313,4 </w:t>
            </w:r>
          </w:p>
        </w:tc>
      </w:tr>
      <w:tr w:rsidR="00D028ED" w:rsidRPr="00C719E2" w14:paraId="1B707E4C" w14:textId="77777777" w:rsidTr="00642968">
        <w:trPr>
          <w:trHeight w:val="240"/>
        </w:trPr>
        <w:tc>
          <w:tcPr>
            <w:tcW w:w="5954" w:type="dxa"/>
            <w:tcBorders>
              <w:top w:val="nil"/>
              <w:left w:val="nil"/>
              <w:bottom w:val="nil"/>
              <w:right w:val="nil"/>
            </w:tcBorders>
            <w:shd w:val="clear" w:color="000000" w:fill="FFFFFF"/>
            <w:noWrap/>
            <w:vAlign w:val="bottom"/>
            <w:hideMark/>
          </w:tcPr>
          <w:p w14:paraId="137081B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5E2DEE9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2327539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36BF03A0"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bottom"/>
            <w:hideMark/>
          </w:tcPr>
          <w:p w14:paraId="58FAF24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2E2E8AB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A8CED1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B914A8" w14:paraId="230F4F25" w14:textId="77777777" w:rsidTr="00642968">
        <w:trPr>
          <w:trHeight w:val="240"/>
        </w:trPr>
        <w:tc>
          <w:tcPr>
            <w:tcW w:w="5954" w:type="dxa"/>
            <w:tcBorders>
              <w:top w:val="nil"/>
              <w:left w:val="nil"/>
              <w:bottom w:val="nil"/>
              <w:right w:val="nil"/>
            </w:tcBorders>
            <w:shd w:val="clear" w:color="000000" w:fill="FFFFFF"/>
            <w:noWrap/>
            <w:vAlign w:val="center"/>
            <w:hideMark/>
          </w:tcPr>
          <w:p w14:paraId="45A9F583" w14:textId="62FB2A8E" w:rsidR="00D028ED" w:rsidRPr="00B914A8" w:rsidRDefault="00D12488" w:rsidP="00D028ED">
            <w:pPr>
              <w:tabs>
                <w:tab w:val="clear" w:pos="1134"/>
                <w:tab w:val="left" w:pos="1418"/>
              </w:tabs>
              <w:spacing w:after="200"/>
              <w:jc w:val="left"/>
              <w:rPr>
                <w:rFonts w:asciiTheme="minorHAnsi" w:eastAsia="Times New Roman" w:hAnsiTheme="minorHAnsi" w:cstheme="minorHAnsi"/>
                <w:b/>
                <w:bCs/>
                <w:color w:val="222B35"/>
                <w:sz w:val="18"/>
                <w:szCs w:val="18"/>
                <w:lang w:val="es-ES"/>
              </w:rPr>
            </w:pPr>
            <w:r w:rsidRPr="00C719E2">
              <w:rPr>
                <w:rFonts w:asciiTheme="minorHAnsi" w:eastAsia="Times New Roman" w:hAnsiTheme="minorHAnsi" w:cstheme="minorHAnsi"/>
                <w:b/>
                <w:color w:val="222B35"/>
                <w:sz w:val="18"/>
                <w:szCs w:val="18"/>
                <w:lang w:val="es-ES"/>
              </w:rPr>
              <w:t>P</w:t>
            </w:r>
            <w:r w:rsidRPr="00D12488">
              <w:rPr>
                <w:rFonts w:asciiTheme="minorHAnsi" w:eastAsia="Times New Roman" w:hAnsiTheme="minorHAnsi" w:cstheme="minorHAnsi"/>
                <w:b/>
                <w:color w:val="222B35"/>
                <w:sz w:val="18"/>
                <w:szCs w:val="18"/>
                <w:lang w:val="es-ES"/>
              </w:rPr>
              <w:t>artida</w:t>
            </w:r>
            <w:r w:rsidR="00D028ED" w:rsidRPr="00D12488">
              <w:rPr>
                <w:rFonts w:asciiTheme="minorHAnsi" w:hAnsiTheme="minorHAnsi" w:cstheme="minorHAnsi"/>
                <w:b/>
                <w:sz w:val="18"/>
                <w:szCs w:val="18"/>
                <w:lang w:val="es-ES"/>
              </w:rPr>
              <w:t xml:space="preserve"> III.  </w:t>
            </w:r>
            <w:r w:rsidR="00831362" w:rsidRPr="00D12488">
              <w:rPr>
                <w:rFonts w:asciiTheme="minorHAnsi" w:hAnsiTheme="minorHAnsi" w:cstheme="minorHAnsi"/>
                <w:b/>
                <w:sz w:val="18"/>
                <w:szCs w:val="18"/>
                <w:lang w:val="es-ES"/>
              </w:rPr>
              <w:t>Objetivo</w:t>
            </w:r>
            <w:r w:rsidR="00D028ED" w:rsidRPr="00D12488">
              <w:rPr>
                <w:rFonts w:asciiTheme="minorHAnsi" w:hAnsiTheme="minorHAnsi" w:cstheme="minorHAnsi"/>
                <w:b/>
                <w:sz w:val="18"/>
                <w:szCs w:val="18"/>
                <w:lang w:val="es-ES"/>
              </w:rPr>
              <w:t xml:space="preserve"> a l</w:t>
            </w:r>
            <w:r w:rsidR="00D028ED" w:rsidRPr="00C719E2">
              <w:rPr>
                <w:rFonts w:asciiTheme="minorHAnsi" w:hAnsiTheme="minorHAnsi" w:cstheme="minorHAnsi"/>
                <w:b/>
                <w:sz w:val="18"/>
                <w:szCs w:val="18"/>
                <w:lang w:val="es-ES"/>
              </w:rPr>
              <w:t xml:space="preserve">argo plazo 3.  </w:t>
            </w:r>
            <w:r w:rsidR="00D028ED" w:rsidRPr="00D12488">
              <w:rPr>
                <w:rFonts w:asciiTheme="minorHAnsi" w:hAnsiTheme="minorHAnsi" w:cstheme="minorHAnsi"/>
                <w:b/>
                <w:bCs/>
                <w:sz w:val="18"/>
                <w:szCs w:val="18"/>
                <w:lang w:val="es-ES"/>
              </w:rPr>
              <w:t>Promoción de investigaciones específicas</w:t>
            </w:r>
          </w:p>
        </w:tc>
        <w:tc>
          <w:tcPr>
            <w:tcW w:w="276" w:type="dxa"/>
            <w:tcBorders>
              <w:top w:val="nil"/>
              <w:left w:val="nil"/>
              <w:bottom w:val="nil"/>
              <w:right w:val="nil"/>
            </w:tcBorders>
            <w:shd w:val="clear" w:color="000000" w:fill="FFFFFF"/>
            <w:noWrap/>
            <w:vAlign w:val="bottom"/>
            <w:hideMark/>
          </w:tcPr>
          <w:p w14:paraId="243C7C81" w14:textId="77777777" w:rsidR="00D028ED" w:rsidRPr="00B914A8"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B914A8">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3F813981" w14:textId="77777777" w:rsidR="00D028ED" w:rsidRPr="00B914A8"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B914A8">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5B87DF21" w14:textId="77777777" w:rsidR="00D028ED" w:rsidRPr="00B914A8"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B914A8">
              <w:rPr>
                <w:rFonts w:asciiTheme="minorHAnsi" w:eastAsia="Times New Roman" w:hAnsiTheme="minorHAnsi" w:cstheme="minorHAnsi"/>
                <w:color w:val="000000"/>
                <w:sz w:val="18"/>
                <w:szCs w:val="18"/>
                <w:lang w:val="es-ES"/>
              </w:rPr>
              <w:t> </w:t>
            </w:r>
          </w:p>
        </w:tc>
        <w:tc>
          <w:tcPr>
            <w:tcW w:w="986" w:type="dxa"/>
            <w:tcBorders>
              <w:top w:val="nil"/>
              <w:left w:val="nil"/>
              <w:bottom w:val="nil"/>
              <w:right w:val="nil"/>
            </w:tcBorders>
            <w:shd w:val="clear" w:color="000000" w:fill="FFFFFF"/>
            <w:noWrap/>
            <w:vAlign w:val="center"/>
            <w:hideMark/>
          </w:tcPr>
          <w:p w14:paraId="0687E9F5" w14:textId="77777777" w:rsidR="00D028ED" w:rsidRPr="00B914A8"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B914A8">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2726FDE0" w14:textId="77777777" w:rsidR="00D028ED" w:rsidRPr="00B914A8"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B914A8">
              <w:rPr>
                <w:rFonts w:asciiTheme="minorHAnsi" w:eastAsia="Times New Roman" w:hAnsiTheme="minorHAnsi" w:cstheme="minorHAnsi"/>
                <w:color w:val="000000"/>
                <w:sz w:val="18"/>
                <w:szCs w:val="18"/>
                <w:lang w:val="es-ES"/>
              </w:rPr>
              <w:t> </w:t>
            </w:r>
          </w:p>
        </w:tc>
        <w:tc>
          <w:tcPr>
            <w:tcW w:w="878" w:type="dxa"/>
            <w:tcBorders>
              <w:top w:val="nil"/>
              <w:left w:val="nil"/>
              <w:bottom w:val="nil"/>
              <w:right w:val="nil"/>
            </w:tcBorders>
            <w:shd w:val="clear" w:color="000000" w:fill="FFFFFF"/>
            <w:noWrap/>
            <w:vAlign w:val="center"/>
            <w:hideMark/>
          </w:tcPr>
          <w:p w14:paraId="1DE631C0" w14:textId="77777777" w:rsidR="00D028ED" w:rsidRPr="00B914A8"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B914A8">
              <w:rPr>
                <w:rFonts w:asciiTheme="minorHAnsi" w:eastAsia="Times New Roman" w:hAnsiTheme="minorHAnsi" w:cstheme="minorHAnsi"/>
                <w:color w:val="000000"/>
                <w:sz w:val="18"/>
                <w:szCs w:val="18"/>
                <w:lang w:val="es-ES"/>
              </w:rPr>
              <w:t> </w:t>
            </w:r>
          </w:p>
        </w:tc>
      </w:tr>
      <w:tr w:rsidR="00D028ED" w:rsidRPr="00C719E2" w14:paraId="27E08837" w14:textId="77777777" w:rsidTr="00642968">
        <w:trPr>
          <w:trHeight w:val="240"/>
        </w:trPr>
        <w:tc>
          <w:tcPr>
            <w:tcW w:w="5954" w:type="dxa"/>
            <w:tcBorders>
              <w:top w:val="nil"/>
              <w:left w:val="nil"/>
              <w:bottom w:val="nil"/>
              <w:right w:val="nil"/>
            </w:tcBorders>
            <w:shd w:val="clear" w:color="000000" w:fill="FFFFFF"/>
            <w:noWrap/>
            <w:vAlign w:val="center"/>
            <w:hideMark/>
          </w:tcPr>
          <w:p w14:paraId="1D5C015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3.1 Fomento del conocimiento científico del sistema Tierra</w:t>
            </w:r>
          </w:p>
        </w:tc>
        <w:tc>
          <w:tcPr>
            <w:tcW w:w="276" w:type="dxa"/>
            <w:tcBorders>
              <w:top w:val="nil"/>
              <w:left w:val="nil"/>
              <w:bottom w:val="nil"/>
              <w:right w:val="nil"/>
            </w:tcBorders>
            <w:shd w:val="clear" w:color="000000" w:fill="FFFFFF"/>
            <w:noWrap/>
            <w:vAlign w:val="bottom"/>
            <w:hideMark/>
          </w:tcPr>
          <w:p w14:paraId="6DACBB6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169E32DD" w14:textId="607AF638"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10</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812,8 </w:t>
            </w:r>
          </w:p>
        </w:tc>
        <w:tc>
          <w:tcPr>
            <w:tcW w:w="266" w:type="dxa"/>
            <w:tcBorders>
              <w:top w:val="nil"/>
              <w:left w:val="nil"/>
              <w:bottom w:val="nil"/>
              <w:right w:val="nil"/>
            </w:tcBorders>
            <w:shd w:val="clear" w:color="000000" w:fill="FFFFFF"/>
            <w:noWrap/>
            <w:vAlign w:val="bottom"/>
            <w:hideMark/>
          </w:tcPr>
          <w:p w14:paraId="4E12170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270A8A70" w14:textId="2CAF7729"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9</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790,9 </w:t>
            </w:r>
          </w:p>
        </w:tc>
        <w:tc>
          <w:tcPr>
            <w:tcW w:w="266" w:type="dxa"/>
            <w:tcBorders>
              <w:top w:val="nil"/>
              <w:left w:val="nil"/>
              <w:bottom w:val="nil"/>
              <w:right w:val="nil"/>
            </w:tcBorders>
            <w:shd w:val="clear" w:color="000000" w:fill="FFFFFF"/>
            <w:noWrap/>
            <w:vAlign w:val="bottom"/>
            <w:hideMark/>
          </w:tcPr>
          <w:p w14:paraId="5A6DC02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3F728837" w14:textId="28D09C19"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021,9 </w:t>
            </w:r>
          </w:p>
        </w:tc>
      </w:tr>
      <w:tr w:rsidR="00D028ED" w:rsidRPr="00C719E2" w14:paraId="2B6A6D85" w14:textId="77777777" w:rsidTr="00642968">
        <w:trPr>
          <w:trHeight w:val="240"/>
        </w:trPr>
        <w:tc>
          <w:tcPr>
            <w:tcW w:w="5954" w:type="dxa"/>
            <w:tcBorders>
              <w:top w:val="nil"/>
              <w:left w:val="nil"/>
              <w:bottom w:val="nil"/>
              <w:right w:val="nil"/>
            </w:tcBorders>
            <w:shd w:val="clear" w:color="000000" w:fill="FFFFFF"/>
            <w:noWrap/>
            <w:vAlign w:val="center"/>
            <w:hideMark/>
          </w:tcPr>
          <w:p w14:paraId="6BD65E7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3.2 Mejora de las capacidades de predicción</w:t>
            </w:r>
          </w:p>
        </w:tc>
        <w:tc>
          <w:tcPr>
            <w:tcW w:w="276" w:type="dxa"/>
            <w:tcBorders>
              <w:top w:val="nil"/>
              <w:left w:val="nil"/>
              <w:bottom w:val="nil"/>
              <w:right w:val="nil"/>
            </w:tcBorders>
            <w:shd w:val="clear" w:color="000000" w:fill="FFFFFF"/>
            <w:noWrap/>
            <w:vAlign w:val="bottom"/>
            <w:hideMark/>
          </w:tcPr>
          <w:p w14:paraId="19F3468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24E4E17D" w14:textId="54D89BCB"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9</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514,0 </w:t>
            </w:r>
          </w:p>
        </w:tc>
        <w:tc>
          <w:tcPr>
            <w:tcW w:w="266" w:type="dxa"/>
            <w:tcBorders>
              <w:top w:val="nil"/>
              <w:left w:val="nil"/>
              <w:bottom w:val="nil"/>
              <w:right w:val="nil"/>
            </w:tcBorders>
            <w:shd w:val="clear" w:color="000000" w:fill="FFFFFF"/>
            <w:noWrap/>
            <w:vAlign w:val="bottom"/>
            <w:hideMark/>
          </w:tcPr>
          <w:p w14:paraId="7BAB405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73D031D4" w14:textId="12975BCE"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8</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739,0 </w:t>
            </w:r>
          </w:p>
        </w:tc>
        <w:tc>
          <w:tcPr>
            <w:tcW w:w="266" w:type="dxa"/>
            <w:tcBorders>
              <w:top w:val="nil"/>
              <w:left w:val="nil"/>
              <w:bottom w:val="nil"/>
              <w:right w:val="nil"/>
            </w:tcBorders>
            <w:shd w:val="clear" w:color="000000" w:fill="FFFFFF"/>
            <w:noWrap/>
            <w:vAlign w:val="bottom"/>
            <w:hideMark/>
          </w:tcPr>
          <w:p w14:paraId="1514855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F4BD655"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 xml:space="preserve">775,0 </w:t>
            </w:r>
          </w:p>
        </w:tc>
      </w:tr>
      <w:tr w:rsidR="00D028ED" w:rsidRPr="00C719E2" w14:paraId="36130BA1" w14:textId="77777777" w:rsidTr="00642968">
        <w:trPr>
          <w:trHeight w:val="240"/>
        </w:trPr>
        <w:tc>
          <w:tcPr>
            <w:tcW w:w="5954" w:type="dxa"/>
            <w:tcBorders>
              <w:top w:val="nil"/>
              <w:left w:val="nil"/>
              <w:bottom w:val="nil"/>
              <w:right w:val="nil"/>
            </w:tcBorders>
            <w:shd w:val="clear" w:color="000000" w:fill="FFFFFF"/>
            <w:noWrap/>
            <w:vAlign w:val="center"/>
            <w:hideMark/>
          </w:tcPr>
          <w:p w14:paraId="2CF85DB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3.3 Promoción y contribución a la ciencia pertinente para la elaboración de políticas</w:t>
            </w:r>
          </w:p>
        </w:tc>
        <w:tc>
          <w:tcPr>
            <w:tcW w:w="276" w:type="dxa"/>
            <w:tcBorders>
              <w:top w:val="nil"/>
              <w:left w:val="nil"/>
              <w:bottom w:val="nil"/>
              <w:right w:val="nil"/>
            </w:tcBorders>
            <w:shd w:val="clear" w:color="000000" w:fill="FFFFFF"/>
            <w:noWrap/>
            <w:vAlign w:val="bottom"/>
            <w:hideMark/>
          </w:tcPr>
          <w:p w14:paraId="4F2FD32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single" w:sz="4" w:space="0" w:color="auto"/>
              <w:right w:val="nil"/>
            </w:tcBorders>
            <w:shd w:val="clear" w:color="000000" w:fill="FFFFFF"/>
            <w:noWrap/>
            <w:vAlign w:val="center"/>
            <w:hideMark/>
          </w:tcPr>
          <w:p w14:paraId="78C4564E" w14:textId="31642048"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7</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257,3 </w:t>
            </w:r>
          </w:p>
        </w:tc>
        <w:tc>
          <w:tcPr>
            <w:tcW w:w="266" w:type="dxa"/>
            <w:tcBorders>
              <w:top w:val="nil"/>
              <w:left w:val="nil"/>
              <w:bottom w:val="nil"/>
              <w:right w:val="nil"/>
            </w:tcBorders>
            <w:shd w:val="clear" w:color="000000" w:fill="FFFFFF"/>
            <w:noWrap/>
            <w:vAlign w:val="bottom"/>
            <w:hideMark/>
          </w:tcPr>
          <w:p w14:paraId="1F2FF80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4" w:space="0" w:color="auto"/>
              <w:right w:val="nil"/>
            </w:tcBorders>
            <w:shd w:val="clear" w:color="000000" w:fill="FFFFFF"/>
            <w:noWrap/>
            <w:vAlign w:val="center"/>
            <w:hideMark/>
          </w:tcPr>
          <w:p w14:paraId="0E4C0589" w14:textId="079D264C"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7</w:t>
            </w:r>
            <w:r w:rsidR="00D74FED">
              <w:rPr>
                <w:rFonts w:asciiTheme="minorHAnsi" w:hAnsiTheme="minorHAnsi" w:cstheme="minorHAnsi"/>
                <w:sz w:val="18"/>
                <w:szCs w:val="18"/>
              </w:rPr>
              <w:t xml:space="preserve"> </w:t>
            </w:r>
            <w:r w:rsidRPr="00C719E2">
              <w:rPr>
                <w:rFonts w:asciiTheme="minorHAnsi" w:hAnsiTheme="minorHAnsi" w:cstheme="minorHAnsi"/>
                <w:sz w:val="18"/>
                <w:szCs w:val="18"/>
              </w:rPr>
              <w:t xml:space="preserve">166,1 </w:t>
            </w:r>
          </w:p>
        </w:tc>
        <w:tc>
          <w:tcPr>
            <w:tcW w:w="266" w:type="dxa"/>
            <w:tcBorders>
              <w:top w:val="nil"/>
              <w:left w:val="nil"/>
              <w:bottom w:val="nil"/>
              <w:right w:val="nil"/>
            </w:tcBorders>
            <w:shd w:val="clear" w:color="000000" w:fill="FFFFFF"/>
            <w:noWrap/>
            <w:vAlign w:val="bottom"/>
            <w:hideMark/>
          </w:tcPr>
          <w:p w14:paraId="157D011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4" w:space="0" w:color="auto"/>
              <w:right w:val="nil"/>
            </w:tcBorders>
            <w:shd w:val="clear" w:color="000000" w:fill="FFFFFF"/>
            <w:noWrap/>
            <w:vAlign w:val="center"/>
            <w:hideMark/>
          </w:tcPr>
          <w:p w14:paraId="779F51D3"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91,2</w:t>
            </w:r>
          </w:p>
        </w:tc>
      </w:tr>
      <w:tr w:rsidR="00D028ED" w:rsidRPr="00C719E2" w14:paraId="5D124FC3" w14:textId="77777777" w:rsidTr="00642968">
        <w:trPr>
          <w:trHeight w:val="240"/>
        </w:trPr>
        <w:tc>
          <w:tcPr>
            <w:tcW w:w="5954" w:type="dxa"/>
            <w:tcBorders>
              <w:top w:val="nil"/>
              <w:left w:val="nil"/>
              <w:bottom w:val="nil"/>
              <w:right w:val="nil"/>
            </w:tcBorders>
            <w:shd w:val="clear" w:color="000000" w:fill="FFFFFF"/>
            <w:noWrap/>
            <w:vAlign w:val="center"/>
            <w:hideMark/>
          </w:tcPr>
          <w:p w14:paraId="13B2029F" w14:textId="78F5D7F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Subtotal</w:t>
            </w:r>
          </w:p>
        </w:tc>
        <w:tc>
          <w:tcPr>
            <w:tcW w:w="276" w:type="dxa"/>
            <w:tcBorders>
              <w:top w:val="nil"/>
              <w:left w:val="nil"/>
              <w:bottom w:val="nil"/>
              <w:right w:val="nil"/>
            </w:tcBorders>
            <w:shd w:val="clear" w:color="000000" w:fill="FFFFFF"/>
            <w:noWrap/>
            <w:vAlign w:val="bottom"/>
            <w:hideMark/>
          </w:tcPr>
          <w:p w14:paraId="2F1B4D2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456B9E45" w14:textId="7DEC3911"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27</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584,1 </w:t>
            </w:r>
          </w:p>
        </w:tc>
        <w:tc>
          <w:tcPr>
            <w:tcW w:w="266" w:type="dxa"/>
            <w:tcBorders>
              <w:top w:val="nil"/>
              <w:left w:val="nil"/>
              <w:bottom w:val="nil"/>
              <w:right w:val="nil"/>
            </w:tcBorders>
            <w:shd w:val="clear" w:color="000000" w:fill="FFFFFF"/>
            <w:noWrap/>
            <w:vAlign w:val="bottom"/>
            <w:hideMark/>
          </w:tcPr>
          <w:p w14:paraId="4CA3936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3A59FA08" w14:textId="0C0E016E"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25</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696,0 </w:t>
            </w:r>
          </w:p>
        </w:tc>
        <w:tc>
          <w:tcPr>
            <w:tcW w:w="266" w:type="dxa"/>
            <w:tcBorders>
              <w:top w:val="nil"/>
              <w:left w:val="nil"/>
              <w:bottom w:val="nil"/>
              <w:right w:val="nil"/>
            </w:tcBorders>
            <w:shd w:val="clear" w:color="000000" w:fill="FFFFFF"/>
            <w:noWrap/>
            <w:vAlign w:val="bottom"/>
            <w:hideMark/>
          </w:tcPr>
          <w:p w14:paraId="28D9E02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979B49A" w14:textId="1156D60D"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1</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888,1 </w:t>
            </w:r>
          </w:p>
        </w:tc>
      </w:tr>
      <w:tr w:rsidR="00D028ED" w:rsidRPr="00C719E2" w14:paraId="1FAC4F09" w14:textId="77777777" w:rsidTr="00642968">
        <w:trPr>
          <w:trHeight w:val="240"/>
        </w:trPr>
        <w:tc>
          <w:tcPr>
            <w:tcW w:w="5954" w:type="dxa"/>
            <w:tcBorders>
              <w:top w:val="nil"/>
              <w:left w:val="nil"/>
              <w:bottom w:val="nil"/>
              <w:right w:val="nil"/>
            </w:tcBorders>
            <w:shd w:val="clear" w:color="000000" w:fill="FFFFFF"/>
            <w:noWrap/>
            <w:vAlign w:val="bottom"/>
            <w:hideMark/>
          </w:tcPr>
          <w:p w14:paraId="228AC12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4021FDA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730C670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3DDA3BD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bottom"/>
            <w:hideMark/>
          </w:tcPr>
          <w:p w14:paraId="7836399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534D10B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E86AD1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97536F" w14:paraId="06E57F3E" w14:textId="77777777" w:rsidTr="00642968">
        <w:trPr>
          <w:trHeight w:val="240"/>
        </w:trPr>
        <w:tc>
          <w:tcPr>
            <w:tcW w:w="5954" w:type="dxa"/>
            <w:tcBorders>
              <w:top w:val="nil"/>
              <w:left w:val="nil"/>
              <w:bottom w:val="nil"/>
              <w:right w:val="nil"/>
            </w:tcBorders>
            <w:shd w:val="clear" w:color="000000" w:fill="FFFFFF"/>
            <w:noWrap/>
            <w:vAlign w:val="center"/>
            <w:hideMark/>
          </w:tcPr>
          <w:p w14:paraId="3060DEC4" w14:textId="04232CD1" w:rsidR="00D028ED" w:rsidRPr="00C719E2" w:rsidRDefault="00D12488" w:rsidP="00D028ED">
            <w:pPr>
              <w:tabs>
                <w:tab w:val="clear" w:pos="1134"/>
                <w:tab w:val="left" w:pos="1418"/>
              </w:tabs>
              <w:spacing w:after="200"/>
              <w:jc w:val="left"/>
              <w:rPr>
                <w:rFonts w:asciiTheme="minorHAnsi" w:eastAsia="Times New Roman" w:hAnsiTheme="minorHAnsi" w:cstheme="minorHAnsi"/>
                <w:b/>
                <w:bCs/>
                <w:color w:val="222B35"/>
                <w:sz w:val="18"/>
                <w:szCs w:val="18"/>
                <w:lang w:val="es-ES"/>
              </w:rPr>
            </w:pPr>
            <w:r w:rsidRPr="00D12488">
              <w:rPr>
                <w:rFonts w:asciiTheme="minorHAnsi" w:eastAsia="Times New Roman" w:hAnsiTheme="minorHAnsi" w:cstheme="minorHAnsi"/>
                <w:b/>
                <w:color w:val="222B35"/>
                <w:sz w:val="18"/>
                <w:szCs w:val="18"/>
                <w:lang w:val="es-ES"/>
              </w:rPr>
              <w:t xml:space="preserve">Partida </w:t>
            </w:r>
            <w:r w:rsidR="00D028ED" w:rsidRPr="00D12488">
              <w:rPr>
                <w:rFonts w:asciiTheme="minorHAnsi" w:hAnsiTheme="minorHAnsi" w:cstheme="minorHAnsi"/>
                <w:b/>
                <w:sz w:val="18"/>
                <w:szCs w:val="18"/>
                <w:lang w:val="es-ES"/>
              </w:rPr>
              <w:t xml:space="preserve">IV.  </w:t>
            </w:r>
            <w:r w:rsidR="00B914A8" w:rsidRPr="00D12488">
              <w:rPr>
                <w:rFonts w:asciiTheme="minorHAnsi" w:hAnsiTheme="minorHAnsi" w:cstheme="minorHAnsi"/>
                <w:b/>
                <w:sz w:val="18"/>
                <w:szCs w:val="18"/>
                <w:lang w:val="es-ES"/>
              </w:rPr>
              <w:t>Objetivo</w:t>
            </w:r>
            <w:r w:rsidR="00D028ED" w:rsidRPr="00D12488">
              <w:rPr>
                <w:rFonts w:asciiTheme="minorHAnsi" w:hAnsiTheme="minorHAnsi" w:cstheme="minorHAnsi"/>
                <w:b/>
                <w:sz w:val="18"/>
                <w:szCs w:val="18"/>
                <w:lang w:val="es-ES"/>
              </w:rPr>
              <w:t xml:space="preserve"> a la</w:t>
            </w:r>
            <w:r w:rsidR="00D028ED" w:rsidRPr="00C719E2">
              <w:rPr>
                <w:rFonts w:asciiTheme="minorHAnsi" w:hAnsiTheme="minorHAnsi" w:cstheme="minorHAnsi"/>
                <w:b/>
                <w:sz w:val="18"/>
                <w:szCs w:val="18"/>
                <w:lang w:val="es-ES"/>
              </w:rPr>
              <w:t>rgo plazo 4. Eliminación de las deficiencias de capacidad</w:t>
            </w:r>
          </w:p>
        </w:tc>
        <w:tc>
          <w:tcPr>
            <w:tcW w:w="276" w:type="dxa"/>
            <w:tcBorders>
              <w:top w:val="nil"/>
              <w:left w:val="nil"/>
              <w:bottom w:val="nil"/>
              <w:right w:val="nil"/>
            </w:tcBorders>
            <w:shd w:val="clear" w:color="000000" w:fill="FFFFFF"/>
            <w:noWrap/>
            <w:vAlign w:val="bottom"/>
            <w:hideMark/>
          </w:tcPr>
          <w:p w14:paraId="0F4EDE8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5FBB5B9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31B4E64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6" w:type="dxa"/>
            <w:tcBorders>
              <w:top w:val="nil"/>
              <w:left w:val="nil"/>
              <w:bottom w:val="nil"/>
              <w:right w:val="nil"/>
            </w:tcBorders>
            <w:shd w:val="clear" w:color="000000" w:fill="FFFFFF"/>
            <w:noWrap/>
            <w:vAlign w:val="bottom"/>
            <w:hideMark/>
          </w:tcPr>
          <w:p w14:paraId="03F2FD6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1BEFF01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878" w:type="dxa"/>
            <w:tcBorders>
              <w:top w:val="nil"/>
              <w:left w:val="nil"/>
              <w:bottom w:val="nil"/>
              <w:right w:val="nil"/>
            </w:tcBorders>
            <w:shd w:val="clear" w:color="000000" w:fill="FFFFFF"/>
            <w:noWrap/>
            <w:vAlign w:val="center"/>
            <w:hideMark/>
          </w:tcPr>
          <w:p w14:paraId="5EDAB1D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r>
      <w:tr w:rsidR="00D028ED" w:rsidRPr="00C719E2" w14:paraId="20F08D7C" w14:textId="77777777" w:rsidTr="00642968">
        <w:trPr>
          <w:trHeight w:val="240"/>
        </w:trPr>
        <w:tc>
          <w:tcPr>
            <w:tcW w:w="5954" w:type="dxa"/>
            <w:tcBorders>
              <w:top w:val="nil"/>
              <w:left w:val="nil"/>
              <w:bottom w:val="nil"/>
              <w:right w:val="nil"/>
            </w:tcBorders>
            <w:shd w:val="clear" w:color="000000" w:fill="FFFFFF"/>
            <w:noWrap/>
            <w:vAlign w:val="center"/>
            <w:hideMark/>
          </w:tcPr>
          <w:p w14:paraId="2D4F23D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lastRenderedPageBreak/>
              <w:t>OE 4.1 Atención a las necesidades de los países en desarrollo</w:t>
            </w:r>
          </w:p>
        </w:tc>
        <w:tc>
          <w:tcPr>
            <w:tcW w:w="276" w:type="dxa"/>
            <w:tcBorders>
              <w:top w:val="nil"/>
              <w:left w:val="nil"/>
              <w:bottom w:val="nil"/>
              <w:right w:val="nil"/>
            </w:tcBorders>
            <w:shd w:val="clear" w:color="000000" w:fill="FFFFFF"/>
            <w:noWrap/>
            <w:vAlign w:val="bottom"/>
            <w:hideMark/>
          </w:tcPr>
          <w:p w14:paraId="501F09C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51C62DB8" w14:textId="599AF1C2"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43</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046,9 </w:t>
            </w:r>
          </w:p>
        </w:tc>
        <w:tc>
          <w:tcPr>
            <w:tcW w:w="266" w:type="dxa"/>
            <w:tcBorders>
              <w:top w:val="nil"/>
              <w:left w:val="nil"/>
              <w:bottom w:val="nil"/>
              <w:right w:val="nil"/>
            </w:tcBorders>
            <w:shd w:val="clear" w:color="000000" w:fill="FFFFFF"/>
            <w:noWrap/>
            <w:vAlign w:val="bottom"/>
            <w:hideMark/>
          </w:tcPr>
          <w:p w14:paraId="3AD4C84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101537B9" w14:textId="4351232C"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38</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955,5 </w:t>
            </w:r>
          </w:p>
        </w:tc>
        <w:tc>
          <w:tcPr>
            <w:tcW w:w="266" w:type="dxa"/>
            <w:tcBorders>
              <w:top w:val="nil"/>
              <w:left w:val="nil"/>
              <w:bottom w:val="nil"/>
              <w:right w:val="nil"/>
            </w:tcBorders>
            <w:shd w:val="clear" w:color="000000" w:fill="FFFFFF"/>
            <w:noWrap/>
            <w:vAlign w:val="bottom"/>
            <w:hideMark/>
          </w:tcPr>
          <w:p w14:paraId="1907707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D71C71D" w14:textId="30912F3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4</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091,4 </w:t>
            </w:r>
          </w:p>
        </w:tc>
      </w:tr>
      <w:tr w:rsidR="00D028ED" w:rsidRPr="00C719E2" w14:paraId="42103CBD" w14:textId="77777777" w:rsidTr="00642968">
        <w:trPr>
          <w:trHeight w:val="240"/>
        </w:trPr>
        <w:tc>
          <w:tcPr>
            <w:tcW w:w="5954" w:type="dxa"/>
            <w:tcBorders>
              <w:top w:val="nil"/>
              <w:left w:val="nil"/>
              <w:bottom w:val="nil"/>
              <w:right w:val="nil"/>
            </w:tcBorders>
            <w:shd w:val="clear" w:color="000000" w:fill="FFFFFF"/>
            <w:noWrap/>
            <w:vAlign w:val="center"/>
            <w:hideMark/>
          </w:tcPr>
          <w:p w14:paraId="4770A1B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4.2 Desarrollo y mantenimiento de las competencias y conocimientos básicos</w:t>
            </w:r>
          </w:p>
        </w:tc>
        <w:tc>
          <w:tcPr>
            <w:tcW w:w="276" w:type="dxa"/>
            <w:tcBorders>
              <w:top w:val="nil"/>
              <w:left w:val="nil"/>
              <w:bottom w:val="nil"/>
              <w:right w:val="nil"/>
            </w:tcBorders>
            <w:shd w:val="clear" w:color="000000" w:fill="FFFFFF"/>
            <w:noWrap/>
            <w:vAlign w:val="bottom"/>
            <w:hideMark/>
          </w:tcPr>
          <w:p w14:paraId="46F9CBB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780A0A11" w14:textId="75F36BD4"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16</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889,2 </w:t>
            </w:r>
          </w:p>
        </w:tc>
        <w:tc>
          <w:tcPr>
            <w:tcW w:w="266" w:type="dxa"/>
            <w:tcBorders>
              <w:top w:val="nil"/>
              <w:left w:val="nil"/>
              <w:bottom w:val="nil"/>
              <w:right w:val="nil"/>
            </w:tcBorders>
            <w:shd w:val="clear" w:color="000000" w:fill="FFFFFF"/>
            <w:noWrap/>
            <w:vAlign w:val="bottom"/>
            <w:hideMark/>
          </w:tcPr>
          <w:p w14:paraId="34312A6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5D34B7EA" w14:textId="4605720E"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16</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289,9 </w:t>
            </w:r>
          </w:p>
        </w:tc>
        <w:tc>
          <w:tcPr>
            <w:tcW w:w="266" w:type="dxa"/>
            <w:tcBorders>
              <w:top w:val="nil"/>
              <w:left w:val="nil"/>
              <w:bottom w:val="nil"/>
              <w:right w:val="nil"/>
            </w:tcBorders>
            <w:shd w:val="clear" w:color="000000" w:fill="FFFFFF"/>
            <w:noWrap/>
            <w:vAlign w:val="bottom"/>
            <w:hideMark/>
          </w:tcPr>
          <w:p w14:paraId="4A80679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3B122488"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 xml:space="preserve">599,3 </w:t>
            </w:r>
          </w:p>
        </w:tc>
      </w:tr>
      <w:tr w:rsidR="00D028ED" w:rsidRPr="00C719E2" w14:paraId="696F21FC" w14:textId="77777777" w:rsidTr="00642968">
        <w:trPr>
          <w:trHeight w:val="240"/>
        </w:trPr>
        <w:tc>
          <w:tcPr>
            <w:tcW w:w="5954" w:type="dxa"/>
            <w:tcBorders>
              <w:top w:val="nil"/>
              <w:left w:val="nil"/>
              <w:bottom w:val="nil"/>
              <w:right w:val="nil"/>
            </w:tcBorders>
            <w:shd w:val="clear" w:color="000000" w:fill="FFFFFF"/>
            <w:noWrap/>
            <w:vAlign w:val="center"/>
            <w:hideMark/>
          </w:tcPr>
          <w:p w14:paraId="03F6F58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4.3 Ampliación de las asociaciones eficaces para la inversión</w:t>
            </w:r>
          </w:p>
        </w:tc>
        <w:tc>
          <w:tcPr>
            <w:tcW w:w="276" w:type="dxa"/>
            <w:tcBorders>
              <w:top w:val="nil"/>
              <w:left w:val="nil"/>
              <w:bottom w:val="nil"/>
              <w:right w:val="nil"/>
            </w:tcBorders>
            <w:shd w:val="clear" w:color="000000" w:fill="FFFFFF"/>
            <w:noWrap/>
            <w:vAlign w:val="bottom"/>
            <w:hideMark/>
          </w:tcPr>
          <w:p w14:paraId="34351D5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single" w:sz="4" w:space="0" w:color="auto"/>
              <w:right w:val="nil"/>
            </w:tcBorders>
            <w:shd w:val="clear" w:color="000000" w:fill="FFFFFF"/>
            <w:noWrap/>
            <w:vAlign w:val="center"/>
            <w:hideMark/>
          </w:tcPr>
          <w:p w14:paraId="74B39DBF" w14:textId="346DE81C"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6</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532,2 </w:t>
            </w:r>
          </w:p>
        </w:tc>
        <w:tc>
          <w:tcPr>
            <w:tcW w:w="266" w:type="dxa"/>
            <w:tcBorders>
              <w:top w:val="nil"/>
              <w:left w:val="nil"/>
              <w:bottom w:val="nil"/>
              <w:right w:val="nil"/>
            </w:tcBorders>
            <w:shd w:val="clear" w:color="000000" w:fill="FFFFFF"/>
            <w:noWrap/>
            <w:vAlign w:val="bottom"/>
            <w:hideMark/>
          </w:tcPr>
          <w:p w14:paraId="29B78DF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4" w:space="0" w:color="auto"/>
              <w:right w:val="nil"/>
            </w:tcBorders>
            <w:shd w:val="clear" w:color="000000" w:fill="FFFFFF"/>
            <w:noWrap/>
            <w:vAlign w:val="center"/>
            <w:hideMark/>
          </w:tcPr>
          <w:p w14:paraId="01CF0871" w14:textId="5A4CDA4B"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5</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768,7 </w:t>
            </w:r>
          </w:p>
        </w:tc>
        <w:tc>
          <w:tcPr>
            <w:tcW w:w="266" w:type="dxa"/>
            <w:tcBorders>
              <w:top w:val="nil"/>
              <w:left w:val="nil"/>
              <w:bottom w:val="nil"/>
              <w:right w:val="nil"/>
            </w:tcBorders>
            <w:shd w:val="clear" w:color="000000" w:fill="FFFFFF"/>
            <w:noWrap/>
            <w:vAlign w:val="bottom"/>
            <w:hideMark/>
          </w:tcPr>
          <w:p w14:paraId="7E838F3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4" w:space="0" w:color="auto"/>
              <w:right w:val="nil"/>
            </w:tcBorders>
            <w:shd w:val="clear" w:color="000000" w:fill="FFFFFF"/>
            <w:noWrap/>
            <w:vAlign w:val="center"/>
            <w:hideMark/>
          </w:tcPr>
          <w:p w14:paraId="181B4693"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 xml:space="preserve">763,5 </w:t>
            </w:r>
          </w:p>
        </w:tc>
      </w:tr>
      <w:tr w:rsidR="00D028ED" w:rsidRPr="00C719E2" w14:paraId="3B47C808" w14:textId="77777777" w:rsidTr="00642968">
        <w:trPr>
          <w:trHeight w:val="240"/>
        </w:trPr>
        <w:tc>
          <w:tcPr>
            <w:tcW w:w="5954" w:type="dxa"/>
            <w:tcBorders>
              <w:top w:val="nil"/>
              <w:left w:val="nil"/>
              <w:bottom w:val="nil"/>
              <w:right w:val="nil"/>
            </w:tcBorders>
            <w:shd w:val="clear" w:color="000000" w:fill="FFFFFF"/>
            <w:noWrap/>
            <w:vAlign w:val="center"/>
            <w:hideMark/>
          </w:tcPr>
          <w:p w14:paraId="67779D4E" w14:textId="09BB5E39"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Subtotal</w:t>
            </w:r>
          </w:p>
        </w:tc>
        <w:tc>
          <w:tcPr>
            <w:tcW w:w="276" w:type="dxa"/>
            <w:tcBorders>
              <w:top w:val="nil"/>
              <w:left w:val="nil"/>
              <w:bottom w:val="nil"/>
              <w:right w:val="nil"/>
            </w:tcBorders>
            <w:shd w:val="clear" w:color="000000" w:fill="FFFFFF"/>
            <w:noWrap/>
            <w:vAlign w:val="bottom"/>
            <w:hideMark/>
          </w:tcPr>
          <w:p w14:paraId="72DAB49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4B4EFD57" w14:textId="504719DF"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66</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468,3 </w:t>
            </w:r>
          </w:p>
        </w:tc>
        <w:tc>
          <w:tcPr>
            <w:tcW w:w="266" w:type="dxa"/>
            <w:tcBorders>
              <w:top w:val="nil"/>
              <w:left w:val="nil"/>
              <w:bottom w:val="nil"/>
              <w:right w:val="nil"/>
            </w:tcBorders>
            <w:shd w:val="clear" w:color="000000" w:fill="FFFFFF"/>
            <w:noWrap/>
            <w:vAlign w:val="bottom"/>
            <w:hideMark/>
          </w:tcPr>
          <w:p w14:paraId="3059CF7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0077FDEB" w14:textId="038A26D2"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61</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014,1 </w:t>
            </w:r>
          </w:p>
        </w:tc>
        <w:tc>
          <w:tcPr>
            <w:tcW w:w="266" w:type="dxa"/>
            <w:tcBorders>
              <w:top w:val="nil"/>
              <w:left w:val="nil"/>
              <w:bottom w:val="nil"/>
              <w:right w:val="nil"/>
            </w:tcBorders>
            <w:shd w:val="clear" w:color="000000" w:fill="FFFFFF"/>
            <w:noWrap/>
            <w:vAlign w:val="bottom"/>
            <w:hideMark/>
          </w:tcPr>
          <w:p w14:paraId="1654C80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4D89D1F0" w14:textId="2A5C8C03"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5</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454,2 </w:t>
            </w:r>
          </w:p>
        </w:tc>
      </w:tr>
      <w:tr w:rsidR="00D028ED" w:rsidRPr="00C719E2" w14:paraId="41E7DB4C" w14:textId="77777777" w:rsidTr="00642968">
        <w:trPr>
          <w:trHeight w:val="240"/>
        </w:trPr>
        <w:tc>
          <w:tcPr>
            <w:tcW w:w="5954" w:type="dxa"/>
            <w:tcBorders>
              <w:top w:val="nil"/>
              <w:left w:val="nil"/>
              <w:bottom w:val="nil"/>
              <w:right w:val="nil"/>
            </w:tcBorders>
            <w:shd w:val="clear" w:color="000000" w:fill="FFFFFF"/>
            <w:noWrap/>
            <w:vAlign w:val="bottom"/>
            <w:hideMark/>
          </w:tcPr>
          <w:p w14:paraId="4BD1A2F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446693B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2E3D71C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0641BB4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bottom"/>
            <w:hideMark/>
          </w:tcPr>
          <w:p w14:paraId="22BA552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61629D00"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1F2DFA4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97536F" w14:paraId="05D6035F" w14:textId="77777777" w:rsidTr="00642968">
        <w:trPr>
          <w:trHeight w:val="240"/>
        </w:trPr>
        <w:tc>
          <w:tcPr>
            <w:tcW w:w="5954" w:type="dxa"/>
            <w:tcBorders>
              <w:top w:val="nil"/>
              <w:left w:val="nil"/>
              <w:bottom w:val="nil"/>
              <w:right w:val="nil"/>
            </w:tcBorders>
            <w:shd w:val="clear" w:color="000000" w:fill="FFFFFF"/>
            <w:noWrap/>
            <w:vAlign w:val="center"/>
            <w:hideMark/>
          </w:tcPr>
          <w:p w14:paraId="76D4DA75" w14:textId="744B2D1E"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222B35"/>
                <w:sz w:val="18"/>
                <w:szCs w:val="18"/>
                <w:lang w:val="es-ES" w:eastAsia="zh-CN"/>
              </w:rPr>
            </w:pPr>
            <w:r w:rsidRPr="00C719E2">
              <w:rPr>
                <w:rFonts w:asciiTheme="minorHAnsi" w:eastAsia="Times New Roman" w:hAnsiTheme="minorHAnsi" w:cstheme="minorHAnsi"/>
                <w:b/>
                <w:color w:val="222B35"/>
                <w:sz w:val="18"/>
                <w:szCs w:val="18"/>
                <w:lang w:val="es-ES"/>
              </w:rPr>
              <w:t>Partida V. Meta a largo alcance 5 Reorientación estratégica de la estructura y los programas de la OMM</w:t>
            </w:r>
          </w:p>
        </w:tc>
        <w:tc>
          <w:tcPr>
            <w:tcW w:w="276" w:type="dxa"/>
            <w:tcBorders>
              <w:top w:val="nil"/>
              <w:left w:val="nil"/>
              <w:bottom w:val="nil"/>
              <w:right w:val="nil"/>
            </w:tcBorders>
            <w:shd w:val="clear" w:color="000000" w:fill="FFFFFF"/>
            <w:noWrap/>
            <w:vAlign w:val="bottom"/>
            <w:hideMark/>
          </w:tcPr>
          <w:p w14:paraId="5ECDB14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141653C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379987A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6" w:type="dxa"/>
            <w:tcBorders>
              <w:top w:val="nil"/>
              <w:left w:val="nil"/>
              <w:bottom w:val="nil"/>
              <w:right w:val="nil"/>
            </w:tcBorders>
            <w:shd w:val="clear" w:color="000000" w:fill="FFFFFF"/>
            <w:noWrap/>
            <w:vAlign w:val="bottom"/>
            <w:hideMark/>
          </w:tcPr>
          <w:p w14:paraId="17F5397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266" w:type="dxa"/>
            <w:tcBorders>
              <w:top w:val="nil"/>
              <w:left w:val="nil"/>
              <w:bottom w:val="nil"/>
              <w:right w:val="nil"/>
            </w:tcBorders>
            <w:shd w:val="clear" w:color="000000" w:fill="FFFFFF"/>
            <w:noWrap/>
            <w:vAlign w:val="bottom"/>
            <w:hideMark/>
          </w:tcPr>
          <w:p w14:paraId="35AADF2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878" w:type="dxa"/>
            <w:tcBorders>
              <w:top w:val="nil"/>
              <w:left w:val="nil"/>
              <w:bottom w:val="nil"/>
              <w:right w:val="nil"/>
            </w:tcBorders>
            <w:shd w:val="clear" w:color="000000" w:fill="FFFFFF"/>
            <w:noWrap/>
            <w:vAlign w:val="center"/>
            <w:hideMark/>
          </w:tcPr>
          <w:p w14:paraId="7740A3B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r>
      <w:tr w:rsidR="00D028ED" w:rsidRPr="00C719E2" w14:paraId="1324CF88" w14:textId="77777777" w:rsidTr="00642968">
        <w:trPr>
          <w:trHeight w:val="240"/>
        </w:trPr>
        <w:tc>
          <w:tcPr>
            <w:tcW w:w="5954" w:type="dxa"/>
            <w:tcBorders>
              <w:top w:val="nil"/>
              <w:left w:val="nil"/>
              <w:bottom w:val="nil"/>
              <w:right w:val="nil"/>
            </w:tcBorders>
            <w:shd w:val="clear" w:color="000000" w:fill="FFFFFF"/>
            <w:noWrap/>
            <w:vAlign w:val="center"/>
            <w:hideMark/>
          </w:tcPr>
          <w:p w14:paraId="7E4BFD1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5.1 Optimización del órgano integrante de la OMM</w:t>
            </w:r>
          </w:p>
        </w:tc>
        <w:tc>
          <w:tcPr>
            <w:tcW w:w="276" w:type="dxa"/>
            <w:tcBorders>
              <w:top w:val="nil"/>
              <w:left w:val="nil"/>
              <w:bottom w:val="nil"/>
              <w:right w:val="nil"/>
            </w:tcBorders>
            <w:shd w:val="clear" w:color="000000" w:fill="FFFFFF"/>
            <w:noWrap/>
            <w:vAlign w:val="bottom"/>
            <w:hideMark/>
          </w:tcPr>
          <w:p w14:paraId="44397AA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6C233919" w14:textId="6F78E4FB"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034,2 </w:t>
            </w:r>
          </w:p>
        </w:tc>
        <w:tc>
          <w:tcPr>
            <w:tcW w:w="266" w:type="dxa"/>
            <w:tcBorders>
              <w:top w:val="nil"/>
              <w:left w:val="nil"/>
              <w:bottom w:val="nil"/>
              <w:right w:val="nil"/>
            </w:tcBorders>
            <w:shd w:val="clear" w:color="000000" w:fill="FFFFFF"/>
            <w:noWrap/>
            <w:vAlign w:val="bottom"/>
            <w:hideMark/>
          </w:tcPr>
          <w:p w14:paraId="1E526B8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5AF39579" w14:textId="5DDE64D2"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034,2 </w:t>
            </w:r>
          </w:p>
        </w:tc>
        <w:tc>
          <w:tcPr>
            <w:tcW w:w="266" w:type="dxa"/>
            <w:tcBorders>
              <w:top w:val="nil"/>
              <w:left w:val="nil"/>
              <w:bottom w:val="nil"/>
              <w:right w:val="nil"/>
            </w:tcBorders>
            <w:shd w:val="clear" w:color="000000" w:fill="FFFFFF"/>
            <w:noWrap/>
            <w:vAlign w:val="bottom"/>
            <w:hideMark/>
          </w:tcPr>
          <w:p w14:paraId="4DBA19B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7779B515"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w:t>
            </w:r>
          </w:p>
        </w:tc>
      </w:tr>
      <w:tr w:rsidR="00D028ED" w:rsidRPr="00C719E2" w14:paraId="0D357D43" w14:textId="77777777" w:rsidTr="00642968">
        <w:trPr>
          <w:trHeight w:val="240"/>
        </w:trPr>
        <w:tc>
          <w:tcPr>
            <w:tcW w:w="5954" w:type="dxa"/>
            <w:tcBorders>
              <w:top w:val="nil"/>
              <w:left w:val="nil"/>
              <w:bottom w:val="nil"/>
              <w:right w:val="nil"/>
            </w:tcBorders>
            <w:shd w:val="clear" w:color="000000" w:fill="FFFFFF"/>
            <w:noWrap/>
            <w:vAlign w:val="center"/>
            <w:hideMark/>
          </w:tcPr>
          <w:p w14:paraId="063A534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5.2 Promover las asociaciones estratégicas de la OMM</w:t>
            </w:r>
          </w:p>
        </w:tc>
        <w:tc>
          <w:tcPr>
            <w:tcW w:w="276" w:type="dxa"/>
            <w:tcBorders>
              <w:top w:val="nil"/>
              <w:left w:val="nil"/>
              <w:bottom w:val="nil"/>
              <w:right w:val="nil"/>
            </w:tcBorders>
            <w:shd w:val="clear" w:color="000000" w:fill="FFFFFF"/>
            <w:noWrap/>
            <w:vAlign w:val="bottom"/>
            <w:hideMark/>
          </w:tcPr>
          <w:p w14:paraId="0699671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4615B6B3" w14:textId="0E88A900"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675,6 </w:t>
            </w:r>
          </w:p>
        </w:tc>
        <w:tc>
          <w:tcPr>
            <w:tcW w:w="266" w:type="dxa"/>
            <w:tcBorders>
              <w:top w:val="nil"/>
              <w:left w:val="nil"/>
              <w:bottom w:val="nil"/>
              <w:right w:val="nil"/>
            </w:tcBorders>
            <w:shd w:val="clear" w:color="000000" w:fill="FFFFFF"/>
            <w:noWrap/>
            <w:vAlign w:val="bottom"/>
            <w:hideMark/>
          </w:tcPr>
          <w:p w14:paraId="4A0ED1D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3594CC4B" w14:textId="352C3FD5"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626,2 </w:t>
            </w:r>
          </w:p>
        </w:tc>
        <w:tc>
          <w:tcPr>
            <w:tcW w:w="266" w:type="dxa"/>
            <w:tcBorders>
              <w:top w:val="nil"/>
              <w:left w:val="nil"/>
              <w:bottom w:val="nil"/>
              <w:right w:val="nil"/>
            </w:tcBorders>
            <w:shd w:val="clear" w:color="000000" w:fill="FFFFFF"/>
            <w:noWrap/>
            <w:vAlign w:val="bottom"/>
            <w:hideMark/>
          </w:tcPr>
          <w:p w14:paraId="286E330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26A7C4CC"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49,4</w:t>
            </w:r>
          </w:p>
        </w:tc>
      </w:tr>
      <w:tr w:rsidR="00D028ED" w:rsidRPr="00C719E2" w14:paraId="7AD47F17" w14:textId="77777777" w:rsidTr="00642968">
        <w:trPr>
          <w:trHeight w:val="240"/>
        </w:trPr>
        <w:tc>
          <w:tcPr>
            <w:tcW w:w="5954" w:type="dxa"/>
            <w:tcBorders>
              <w:top w:val="nil"/>
              <w:left w:val="nil"/>
              <w:bottom w:val="nil"/>
              <w:right w:val="nil"/>
            </w:tcBorders>
            <w:shd w:val="clear" w:color="000000" w:fill="FFFFFF"/>
            <w:noWrap/>
            <w:vAlign w:val="center"/>
            <w:hideMark/>
          </w:tcPr>
          <w:p w14:paraId="58131AD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OE 5.3 Promoción de una participación equitativa, efectiva e inclusiva en la gobernanza</w:t>
            </w:r>
          </w:p>
        </w:tc>
        <w:tc>
          <w:tcPr>
            <w:tcW w:w="276" w:type="dxa"/>
            <w:tcBorders>
              <w:top w:val="nil"/>
              <w:left w:val="nil"/>
              <w:bottom w:val="nil"/>
              <w:right w:val="nil"/>
            </w:tcBorders>
            <w:shd w:val="clear" w:color="000000" w:fill="FFFFFF"/>
            <w:noWrap/>
            <w:vAlign w:val="bottom"/>
            <w:hideMark/>
          </w:tcPr>
          <w:p w14:paraId="6FF9064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3F732577"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138,0</w:t>
            </w:r>
          </w:p>
        </w:tc>
        <w:tc>
          <w:tcPr>
            <w:tcW w:w="266" w:type="dxa"/>
            <w:tcBorders>
              <w:top w:val="nil"/>
              <w:left w:val="nil"/>
              <w:bottom w:val="nil"/>
              <w:right w:val="nil"/>
            </w:tcBorders>
            <w:shd w:val="clear" w:color="000000" w:fill="FFFFFF"/>
            <w:noWrap/>
            <w:vAlign w:val="bottom"/>
            <w:hideMark/>
          </w:tcPr>
          <w:p w14:paraId="3F71255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72B15B28"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88,6</w:t>
            </w:r>
          </w:p>
        </w:tc>
        <w:tc>
          <w:tcPr>
            <w:tcW w:w="266" w:type="dxa"/>
            <w:tcBorders>
              <w:top w:val="nil"/>
              <w:left w:val="nil"/>
              <w:bottom w:val="nil"/>
              <w:right w:val="nil"/>
            </w:tcBorders>
            <w:shd w:val="clear" w:color="000000" w:fill="FFFFFF"/>
            <w:noWrap/>
            <w:vAlign w:val="bottom"/>
            <w:hideMark/>
          </w:tcPr>
          <w:p w14:paraId="1902F95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2224DA39"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49,4</w:t>
            </w:r>
          </w:p>
        </w:tc>
      </w:tr>
      <w:tr w:rsidR="00D028ED" w:rsidRPr="00C719E2" w14:paraId="7A8215FF" w14:textId="77777777" w:rsidTr="00642968">
        <w:trPr>
          <w:trHeight w:val="240"/>
        </w:trPr>
        <w:tc>
          <w:tcPr>
            <w:tcW w:w="5954" w:type="dxa"/>
            <w:tcBorders>
              <w:top w:val="nil"/>
              <w:left w:val="nil"/>
              <w:bottom w:val="nil"/>
              <w:right w:val="nil"/>
            </w:tcBorders>
            <w:shd w:val="clear" w:color="000000" w:fill="FFFFFF"/>
            <w:noWrap/>
            <w:vAlign w:val="center"/>
            <w:hideMark/>
          </w:tcPr>
          <w:p w14:paraId="451C930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OE 5.4: Sostenibilidad medioambiental</w:t>
            </w:r>
          </w:p>
        </w:tc>
        <w:tc>
          <w:tcPr>
            <w:tcW w:w="276" w:type="dxa"/>
            <w:tcBorders>
              <w:top w:val="nil"/>
              <w:left w:val="nil"/>
              <w:bottom w:val="nil"/>
              <w:right w:val="nil"/>
            </w:tcBorders>
            <w:shd w:val="clear" w:color="000000" w:fill="FFFFFF"/>
            <w:noWrap/>
            <w:vAlign w:val="bottom"/>
            <w:hideMark/>
          </w:tcPr>
          <w:p w14:paraId="7440A51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single" w:sz="4" w:space="0" w:color="auto"/>
              <w:right w:val="nil"/>
            </w:tcBorders>
            <w:shd w:val="clear" w:color="000000" w:fill="FFFFFF"/>
            <w:noWrap/>
            <w:vAlign w:val="center"/>
            <w:hideMark/>
          </w:tcPr>
          <w:p w14:paraId="6F0A5CBD"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148,1</w:t>
            </w:r>
          </w:p>
        </w:tc>
        <w:tc>
          <w:tcPr>
            <w:tcW w:w="266" w:type="dxa"/>
            <w:tcBorders>
              <w:top w:val="nil"/>
              <w:left w:val="nil"/>
              <w:bottom w:val="nil"/>
              <w:right w:val="nil"/>
            </w:tcBorders>
            <w:shd w:val="clear" w:color="000000" w:fill="FFFFFF"/>
            <w:noWrap/>
            <w:vAlign w:val="bottom"/>
            <w:hideMark/>
          </w:tcPr>
          <w:p w14:paraId="7B94A26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4" w:space="0" w:color="auto"/>
              <w:right w:val="nil"/>
            </w:tcBorders>
            <w:shd w:val="clear" w:color="000000" w:fill="FFFFFF"/>
            <w:noWrap/>
            <w:vAlign w:val="center"/>
            <w:hideMark/>
          </w:tcPr>
          <w:p w14:paraId="1026A72E"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w:t>
            </w:r>
          </w:p>
        </w:tc>
        <w:tc>
          <w:tcPr>
            <w:tcW w:w="266" w:type="dxa"/>
            <w:tcBorders>
              <w:top w:val="nil"/>
              <w:left w:val="nil"/>
              <w:bottom w:val="nil"/>
              <w:right w:val="nil"/>
            </w:tcBorders>
            <w:shd w:val="clear" w:color="000000" w:fill="FFFFFF"/>
            <w:noWrap/>
            <w:vAlign w:val="bottom"/>
            <w:hideMark/>
          </w:tcPr>
          <w:p w14:paraId="35E842E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4" w:space="0" w:color="auto"/>
              <w:right w:val="nil"/>
            </w:tcBorders>
            <w:shd w:val="clear" w:color="000000" w:fill="FFFFFF"/>
            <w:noWrap/>
            <w:vAlign w:val="center"/>
            <w:hideMark/>
          </w:tcPr>
          <w:p w14:paraId="2A5ADAA1"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148,1</w:t>
            </w:r>
          </w:p>
        </w:tc>
      </w:tr>
      <w:tr w:rsidR="00D028ED" w:rsidRPr="00C719E2" w14:paraId="5769FFA5" w14:textId="77777777" w:rsidTr="00642968">
        <w:trPr>
          <w:trHeight w:val="240"/>
        </w:trPr>
        <w:tc>
          <w:tcPr>
            <w:tcW w:w="5954" w:type="dxa"/>
            <w:tcBorders>
              <w:top w:val="nil"/>
              <w:left w:val="nil"/>
              <w:bottom w:val="nil"/>
              <w:right w:val="nil"/>
            </w:tcBorders>
            <w:shd w:val="clear" w:color="000000" w:fill="FFFFFF"/>
            <w:noWrap/>
            <w:vAlign w:val="center"/>
            <w:hideMark/>
          </w:tcPr>
          <w:p w14:paraId="6B92CAB9" w14:textId="439FEE9C"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xml:space="preserve">Subtotal, </w:t>
            </w:r>
            <w:r w:rsidR="00D12488">
              <w:rPr>
                <w:rFonts w:asciiTheme="minorHAnsi" w:eastAsia="Times New Roman" w:hAnsiTheme="minorHAnsi" w:cstheme="minorHAnsi"/>
                <w:b/>
                <w:color w:val="000000"/>
                <w:sz w:val="18"/>
                <w:szCs w:val="18"/>
                <w:lang w:val="es-ES"/>
              </w:rPr>
              <w:t>objetivos</w:t>
            </w:r>
            <w:r w:rsidRPr="00C719E2">
              <w:rPr>
                <w:rFonts w:asciiTheme="minorHAnsi" w:eastAsia="Times New Roman" w:hAnsiTheme="minorHAnsi" w:cstheme="minorHAnsi"/>
                <w:b/>
                <w:color w:val="000000"/>
                <w:sz w:val="18"/>
                <w:szCs w:val="18"/>
                <w:lang w:val="es-ES"/>
              </w:rPr>
              <w:t xml:space="preserve"> a largo plazo</w:t>
            </w:r>
          </w:p>
        </w:tc>
        <w:tc>
          <w:tcPr>
            <w:tcW w:w="276" w:type="dxa"/>
            <w:tcBorders>
              <w:top w:val="nil"/>
              <w:left w:val="nil"/>
              <w:bottom w:val="nil"/>
              <w:right w:val="nil"/>
            </w:tcBorders>
            <w:shd w:val="clear" w:color="000000" w:fill="FFFFFF"/>
            <w:noWrap/>
            <w:vAlign w:val="center"/>
            <w:hideMark/>
          </w:tcPr>
          <w:p w14:paraId="79781B6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0FC05CE5" w14:textId="07DD804A"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4</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995,9 </w:t>
            </w:r>
          </w:p>
        </w:tc>
        <w:tc>
          <w:tcPr>
            <w:tcW w:w="266" w:type="dxa"/>
            <w:tcBorders>
              <w:top w:val="nil"/>
              <w:left w:val="nil"/>
              <w:bottom w:val="nil"/>
              <w:right w:val="nil"/>
            </w:tcBorders>
            <w:shd w:val="clear" w:color="000000" w:fill="FFFFFF"/>
            <w:noWrap/>
            <w:vAlign w:val="center"/>
            <w:hideMark/>
          </w:tcPr>
          <w:p w14:paraId="61B8774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6" w:type="dxa"/>
            <w:tcBorders>
              <w:top w:val="nil"/>
              <w:left w:val="nil"/>
              <w:bottom w:val="nil"/>
              <w:right w:val="nil"/>
            </w:tcBorders>
            <w:shd w:val="clear" w:color="000000" w:fill="FFFFFF"/>
            <w:noWrap/>
            <w:vAlign w:val="center"/>
            <w:hideMark/>
          </w:tcPr>
          <w:p w14:paraId="7CC41669" w14:textId="31C51ED5"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4</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749,0 </w:t>
            </w:r>
          </w:p>
        </w:tc>
        <w:tc>
          <w:tcPr>
            <w:tcW w:w="266" w:type="dxa"/>
            <w:tcBorders>
              <w:top w:val="nil"/>
              <w:left w:val="nil"/>
              <w:bottom w:val="nil"/>
              <w:right w:val="nil"/>
            </w:tcBorders>
            <w:shd w:val="clear" w:color="000000" w:fill="FFFFFF"/>
            <w:noWrap/>
            <w:vAlign w:val="center"/>
            <w:hideMark/>
          </w:tcPr>
          <w:p w14:paraId="099CA88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878" w:type="dxa"/>
            <w:tcBorders>
              <w:top w:val="nil"/>
              <w:left w:val="nil"/>
              <w:bottom w:val="nil"/>
              <w:right w:val="nil"/>
            </w:tcBorders>
            <w:shd w:val="clear" w:color="000000" w:fill="FFFFFF"/>
            <w:noWrap/>
            <w:vAlign w:val="center"/>
            <w:hideMark/>
          </w:tcPr>
          <w:p w14:paraId="59F998DB"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246,9</w:t>
            </w:r>
          </w:p>
        </w:tc>
      </w:tr>
      <w:tr w:rsidR="00D028ED" w:rsidRPr="00C719E2" w14:paraId="08C5416F" w14:textId="77777777" w:rsidTr="00642968">
        <w:trPr>
          <w:trHeight w:val="252"/>
        </w:trPr>
        <w:tc>
          <w:tcPr>
            <w:tcW w:w="5954" w:type="dxa"/>
            <w:tcBorders>
              <w:top w:val="nil"/>
              <w:left w:val="nil"/>
              <w:bottom w:val="nil"/>
              <w:right w:val="nil"/>
            </w:tcBorders>
            <w:shd w:val="clear" w:color="000000" w:fill="FFFFFF"/>
            <w:noWrap/>
            <w:vAlign w:val="bottom"/>
            <w:hideMark/>
          </w:tcPr>
          <w:p w14:paraId="188140F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31A656B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single" w:sz="8" w:space="0" w:color="auto"/>
              <w:right w:val="nil"/>
            </w:tcBorders>
            <w:shd w:val="clear" w:color="000000" w:fill="FFFFFF"/>
            <w:noWrap/>
            <w:vAlign w:val="center"/>
            <w:hideMark/>
          </w:tcPr>
          <w:p w14:paraId="555A790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0AE2291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8" w:space="0" w:color="auto"/>
              <w:right w:val="nil"/>
            </w:tcBorders>
            <w:shd w:val="clear" w:color="000000" w:fill="FFFFFF"/>
            <w:noWrap/>
            <w:vAlign w:val="bottom"/>
            <w:hideMark/>
          </w:tcPr>
          <w:p w14:paraId="214EEA2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6B7A176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8" w:space="0" w:color="auto"/>
              <w:right w:val="nil"/>
            </w:tcBorders>
            <w:shd w:val="clear" w:color="000000" w:fill="FFFFFF"/>
            <w:noWrap/>
            <w:vAlign w:val="center"/>
            <w:hideMark/>
          </w:tcPr>
          <w:p w14:paraId="45E1F6C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C719E2" w14:paraId="12262A7A" w14:textId="77777777" w:rsidTr="00642968">
        <w:trPr>
          <w:trHeight w:val="240"/>
        </w:trPr>
        <w:tc>
          <w:tcPr>
            <w:tcW w:w="5954" w:type="dxa"/>
            <w:tcBorders>
              <w:top w:val="nil"/>
              <w:left w:val="nil"/>
              <w:bottom w:val="nil"/>
              <w:right w:val="nil"/>
            </w:tcBorders>
            <w:shd w:val="clear" w:color="000000" w:fill="FFFFFF"/>
            <w:noWrap/>
            <w:vAlign w:val="center"/>
            <w:hideMark/>
          </w:tcPr>
          <w:p w14:paraId="126BEC96" w14:textId="6991A5CB"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SUBTOTAL</w:t>
            </w:r>
          </w:p>
        </w:tc>
        <w:tc>
          <w:tcPr>
            <w:tcW w:w="276" w:type="dxa"/>
            <w:tcBorders>
              <w:top w:val="nil"/>
              <w:left w:val="nil"/>
              <w:bottom w:val="nil"/>
              <w:right w:val="nil"/>
            </w:tcBorders>
            <w:shd w:val="clear" w:color="000000" w:fill="FFFFFF"/>
            <w:noWrap/>
            <w:vAlign w:val="center"/>
            <w:hideMark/>
          </w:tcPr>
          <w:p w14:paraId="515FDEE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5" w:type="dxa"/>
            <w:tcBorders>
              <w:top w:val="nil"/>
              <w:left w:val="nil"/>
              <w:bottom w:val="nil"/>
              <w:right w:val="nil"/>
            </w:tcBorders>
            <w:shd w:val="clear" w:color="000000" w:fill="FFFFFF"/>
            <w:noWrap/>
            <w:vAlign w:val="center"/>
            <w:hideMark/>
          </w:tcPr>
          <w:p w14:paraId="65F633E7"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 xml:space="preserve">212.983,4 </w:t>
            </w:r>
          </w:p>
        </w:tc>
        <w:tc>
          <w:tcPr>
            <w:tcW w:w="266" w:type="dxa"/>
            <w:tcBorders>
              <w:top w:val="nil"/>
              <w:left w:val="nil"/>
              <w:bottom w:val="nil"/>
              <w:right w:val="nil"/>
            </w:tcBorders>
            <w:shd w:val="clear" w:color="000000" w:fill="FFFFFF"/>
            <w:noWrap/>
            <w:vAlign w:val="center"/>
            <w:hideMark/>
          </w:tcPr>
          <w:p w14:paraId="313220C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6" w:type="dxa"/>
            <w:tcBorders>
              <w:top w:val="nil"/>
              <w:left w:val="nil"/>
              <w:bottom w:val="nil"/>
              <w:right w:val="nil"/>
            </w:tcBorders>
            <w:shd w:val="clear" w:color="000000" w:fill="FFFFFF"/>
            <w:noWrap/>
            <w:vAlign w:val="center"/>
            <w:hideMark/>
          </w:tcPr>
          <w:p w14:paraId="6B202F6F"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 xml:space="preserve">194.858,5 </w:t>
            </w:r>
          </w:p>
        </w:tc>
        <w:tc>
          <w:tcPr>
            <w:tcW w:w="266" w:type="dxa"/>
            <w:tcBorders>
              <w:top w:val="nil"/>
              <w:left w:val="nil"/>
              <w:bottom w:val="nil"/>
              <w:right w:val="nil"/>
            </w:tcBorders>
            <w:shd w:val="clear" w:color="000000" w:fill="FFFFFF"/>
            <w:noWrap/>
            <w:vAlign w:val="center"/>
            <w:hideMark/>
          </w:tcPr>
          <w:p w14:paraId="4CC8978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878" w:type="dxa"/>
            <w:tcBorders>
              <w:top w:val="nil"/>
              <w:left w:val="nil"/>
              <w:bottom w:val="nil"/>
              <w:right w:val="nil"/>
            </w:tcBorders>
            <w:shd w:val="clear" w:color="000000" w:fill="FFFFFF"/>
            <w:noWrap/>
            <w:vAlign w:val="center"/>
            <w:hideMark/>
          </w:tcPr>
          <w:p w14:paraId="466B0185"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 xml:space="preserve">18.124,9 </w:t>
            </w:r>
          </w:p>
        </w:tc>
      </w:tr>
      <w:tr w:rsidR="00D028ED" w:rsidRPr="00C719E2" w14:paraId="0C0D9E3B" w14:textId="77777777" w:rsidTr="00642968">
        <w:trPr>
          <w:trHeight w:val="240"/>
        </w:trPr>
        <w:tc>
          <w:tcPr>
            <w:tcW w:w="5954" w:type="dxa"/>
            <w:tcBorders>
              <w:top w:val="nil"/>
              <w:left w:val="nil"/>
              <w:bottom w:val="nil"/>
              <w:right w:val="nil"/>
            </w:tcBorders>
            <w:shd w:val="clear" w:color="000000" w:fill="FFFFFF"/>
            <w:noWrap/>
            <w:vAlign w:val="bottom"/>
            <w:hideMark/>
          </w:tcPr>
          <w:p w14:paraId="5D38580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55959F8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681573C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1A07778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bottom"/>
            <w:hideMark/>
          </w:tcPr>
          <w:p w14:paraId="2B82496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4046741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69E1873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97536F" w14:paraId="0EF55F6D" w14:textId="77777777" w:rsidTr="00642968">
        <w:trPr>
          <w:trHeight w:val="240"/>
        </w:trPr>
        <w:tc>
          <w:tcPr>
            <w:tcW w:w="5954" w:type="dxa"/>
            <w:tcBorders>
              <w:top w:val="nil"/>
              <w:left w:val="nil"/>
              <w:bottom w:val="nil"/>
              <w:right w:val="nil"/>
            </w:tcBorders>
            <w:shd w:val="clear" w:color="000000" w:fill="FFFFFF"/>
            <w:noWrap/>
            <w:vAlign w:val="center"/>
            <w:hideMark/>
          </w:tcPr>
          <w:p w14:paraId="017BEEF7" w14:textId="0AFDA01B" w:rsidR="00D028ED" w:rsidRPr="00C719E2" w:rsidRDefault="00D12488"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222B35"/>
                <w:sz w:val="18"/>
                <w:szCs w:val="18"/>
                <w:lang w:val="es-ES"/>
              </w:rPr>
              <w:t xml:space="preserve">Partida </w:t>
            </w:r>
            <w:r w:rsidR="00D028ED" w:rsidRPr="00C719E2">
              <w:rPr>
                <w:rFonts w:asciiTheme="minorHAnsi" w:eastAsia="Times New Roman" w:hAnsiTheme="minorHAnsi" w:cstheme="minorHAnsi"/>
                <w:b/>
                <w:color w:val="000000"/>
                <w:sz w:val="18"/>
                <w:szCs w:val="18"/>
                <w:lang w:val="es-ES"/>
              </w:rPr>
              <w:t>VI. Órganos normativos y dirección ejecutiva</w:t>
            </w:r>
          </w:p>
        </w:tc>
        <w:tc>
          <w:tcPr>
            <w:tcW w:w="276" w:type="dxa"/>
            <w:tcBorders>
              <w:top w:val="nil"/>
              <w:left w:val="nil"/>
              <w:bottom w:val="nil"/>
              <w:right w:val="nil"/>
            </w:tcBorders>
            <w:shd w:val="clear" w:color="000000" w:fill="FFFFFF"/>
            <w:noWrap/>
            <w:vAlign w:val="center"/>
            <w:hideMark/>
          </w:tcPr>
          <w:p w14:paraId="0A8B2FA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18B0F7A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266" w:type="dxa"/>
            <w:tcBorders>
              <w:top w:val="nil"/>
              <w:left w:val="nil"/>
              <w:bottom w:val="nil"/>
              <w:right w:val="nil"/>
            </w:tcBorders>
            <w:shd w:val="clear" w:color="000000" w:fill="FFFFFF"/>
            <w:noWrap/>
            <w:vAlign w:val="center"/>
            <w:hideMark/>
          </w:tcPr>
          <w:p w14:paraId="5819DE6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6" w:type="dxa"/>
            <w:tcBorders>
              <w:top w:val="nil"/>
              <w:left w:val="nil"/>
              <w:bottom w:val="nil"/>
              <w:right w:val="nil"/>
            </w:tcBorders>
            <w:shd w:val="clear" w:color="000000" w:fill="FFFFFF"/>
            <w:noWrap/>
            <w:vAlign w:val="center"/>
            <w:hideMark/>
          </w:tcPr>
          <w:p w14:paraId="7375187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266" w:type="dxa"/>
            <w:tcBorders>
              <w:top w:val="nil"/>
              <w:left w:val="nil"/>
              <w:bottom w:val="nil"/>
              <w:right w:val="nil"/>
            </w:tcBorders>
            <w:shd w:val="clear" w:color="000000" w:fill="FFFFFF"/>
            <w:noWrap/>
            <w:vAlign w:val="center"/>
            <w:hideMark/>
          </w:tcPr>
          <w:p w14:paraId="6E38CB6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878" w:type="dxa"/>
            <w:tcBorders>
              <w:top w:val="nil"/>
              <w:left w:val="nil"/>
              <w:bottom w:val="nil"/>
              <w:right w:val="nil"/>
            </w:tcBorders>
            <w:shd w:val="clear" w:color="000000" w:fill="FFFFFF"/>
            <w:noWrap/>
            <w:vAlign w:val="center"/>
            <w:hideMark/>
          </w:tcPr>
          <w:p w14:paraId="13DFE23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r>
      <w:tr w:rsidR="00D028ED" w:rsidRPr="0097536F" w14:paraId="5E5EB3D7" w14:textId="77777777" w:rsidTr="00642968">
        <w:trPr>
          <w:trHeight w:val="240"/>
        </w:trPr>
        <w:tc>
          <w:tcPr>
            <w:tcW w:w="5954" w:type="dxa"/>
            <w:tcBorders>
              <w:top w:val="nil"/>
              <w:left w:val="nil"/>
              <w:bottom w:val="nil"/>
              <w:right w:val="nil"/>
            </w:tcBorders>
            <w:shd w:val="clear" w:color="000000" w:fill="FFFFFF"/>
            <w:noWrap/>
            <w:vAlign w:val="center"/>
            <w:hideMark/>
          </w:tcPr>
          <w:p w14:paraId="765A821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276" w:type="dxa"/>
            <w:tcBorders>
              <w:top w:val="nil"/>
              <w:left w:val="nil"/>
              <w:bottom w:val="nil"/>
              <w:right w:val="nil"/>
            </w:tcBorders>
            <w:shd w:val="clear" w:color="000000" w:fill="FFFFFF"/>
            <w:noWrap/>
            <w:vAlign w:val="center"/>
            <w:hideMark/>
          </w:tcPr>
          <w:p w14:paraId="093E37C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32EE8B6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266" w:type="dxa"/>
            <w:tcBorders>
              <w:top w:val="nil"/>
              <w:left w:val="nil"/>
              <w:bottom w:val="nil"/>
              <w:right w:val="nil"/>
            </w:tcBorders>
            <w:shd w:val="clear" w:color="000000" w:fill="FFFFFF"/>
            <w:noWrap/>
            <w:vAlign w:val="center"/>
            <w:hideMark/>
          </w:tcPr>
          <w:p w14:paraId="046704E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6" w:type="dxa"/>
            <w:tcBorders>
              <w:top w:val="nil"/>
              <w:left w:val="nil"/>
              <w:bottom w:val="nil"/>
              <w:right w:val="nil"/>
            </w:tcBorders>
            <w:shd w:val="clear" w:color="000000" w:fill="FFFFFF"/>
            <w:noWrap/>
            <w:vAlign w:val="center"/>
            <w:hideMark/>
          </w:tcPr>
          <w:p w14:paraId="7F32D50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266" w:type="dxa"/>
            <w:tcBorders>
              <w:top w:val="nil"/>
              <w:left w:val="nil"/>
              <w:bottom w:val="nil"/>
              <w:right w:val="nil"/>
            </w:tcBorders>
            <w:shd w:val="clear" w:color="000000" w:fill="FFFFFF"/>
            <w:noWrap/>
            <w:vAlign w:val="center"/>
            <w:hideMark/>
          </w:tcPr>
          <w:p w14:paraId="5C23243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878" w:type="dxa"/>
            <w:tcBorders>
              <w:top w:val="nil"/>
              <w:left w:val="nil"/>
              <w:bottom w:val="nil"/>
              <w:right w:val="nil"/>
            </w:tcBorders>
            <w:shd w:val="clear" w:color="000000" w:fill="FFFFFF"/>
            <w:noWrap/>
            <w:vAlign w:val="center"/>
            <w:hideMark/>
          </w:tcPr>
          <w:p w14:paraId="4B32291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r>
      <w:tr w:rsidR="00D028ED" w:rsidRPr="00C719E2" w14:paraId="0AB3211B" w14:textId="77777777" w:rsidTr="00642968">
        <w:trPr>
          <w:trHeight w:val="240"/>
        </w:trPr>
        <w:tc>
          <w:tcPr>
            <w:tcW w:w="5954" w:type="dxa"/>
            <w:tcBorders>
              <w:top w:val="nil"/>
              <w:left w:val="nil"/>
              <w:bottom w:val="nil"/>
              <w:right w:val="nil"/>
            </w:tcBorders>
            <w:shd w:val="clear" w:color="000000" w:fill="FFFFFF"/>
            <w:noWrap/>
            <w:vAlign w:val="center"/>
            <w:hideMark/>
          </w:tcPr>
          <w:p w14:paraId="72261532" w14:textId="209528F2"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val="es-ES" w:eastAsia="zh-CN"/>
              </w:rPr>
            </w:pPr>
            <w:r w:rsidRPr="00C719E2">
              <w:rPr>
                <w:rFonts w:asciiTheme="minorHAnsi" w:eastAsia="Times New Roman" w:hAnsiTheme="minorHAnsi" w:cstheme="minorHAnsi"/>
                <w:color w:val="000000"/>
                <w:sz w:val="18"/>
                <w:szCs w:val="18"/>
                <w:lang w:val="es-ES"/>
              </w:rPr>
              <w:t>Políticas – Órganos normativos (Cg, Consejo Ejecutivo, Mesa y FINAC)</w:t>
            </w:r>
          </w:p>
        </w:tc>
        <w:tc>
          <w:tcPr>
            <w:tcW w:w="276" w:type="dxa"/>
            <w:tcBorders>
              <w:top w:val="nil"/>
              <w:left w:val="nil"/>
              <w:bottom w:val="nil"/>
              <w:right w:val="nil"/>
            </w:tcBorders>
            <w:shd w:val="clear" w:color="000000" w:fill="FFFFFF"/>
            <w:noWrap/>
            <w:vAlign w:val="center"/>
            <w:hideMark/>
          </w:tcPr>
          <w:p w14:paraId="3A08140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62F61E59" w14:textId="1BA6DED9"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5</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834,9 </w:t>
            </w:r>
          </w:p>
        </w:tc>
        <w:tc>
          <w:tcPr>
            <w:tcW w:w="266" w:type="dxa"/>
            <w:tcBorders>
              <w:top w:val="nil"/>
              <w:left w:val="nil"/>
              <w:bottom w:val="nil"/>
              <w:right w:val="nil"/>
            </w:tcBorders>
            <w:shd w:val="clear" w:color="000000" w:fill="FFFFFF"/>
            <w:noWrap/>
            <w:vAlign w:val="center"/>
            <w:hideMark/>
          </w:tcPr>
          <w:p w14:paraId="16F71E3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6" w:type="dxa"/>
            <w:tcBorders>
              <w:top w:val="nil"/>
              <w:left w:val="nil"/>
              <w:bottom w:val="nil"/>
              <w:right w:val="nil"/>
            </w:tcBorders>
            <w:shd w:val="clear" w:color="000000" w:fill="FFFFFF"/>
            <w:noWrap/>
            <w:vAlign w:val="center"/>
            <w:hideMark/>
          </w:tcPr>
          <w:p w14:paraId="214DF9D2" w14:textId="3BA6440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5</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499,1 </w:t>
            </w:r>
          </w:p>
        </w:tc>
        <w:tc>
          <w:tcPr>
            <w:tcW w:w="266" w:type="dxa"/>
            <w:tcBorders>
              <w:top w:val="nil"/>
              <w:left w:val="nil"/>
              <w:bottom w:val="nil"/>
              <w:right w:val="nil"/>
            </w:tcBorders>
            <w:shd w:val="clear" w:color="000000" w:fill="FFFFFF"/>
            <w:noWrap/>
            <w:vAlign w:val="center"/>
            <w:hideMark/>
          </w:tcPr>
          <w:p w14:paraId="4775B3B9"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878" w:type="dxa"/>
            <w:tcBorders>
              <w:top w:val="nil"/>
              <w:left w:val="nil"/>
              <w:bottom w:val="nil"/>
              <w:right w:val="nil"/>
            </w:tcBorders>
            <w:shd w:val="clear" w:color="000000" w:fill="FFFFFF"/>
            <w:noWrap/>
            <w:vAlign w:val="center"/>
            <w:hideMark/>
          </w:tcPr>
          <w:p w14:paraId="097C9029"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335,8</w:t>
            </w:r>
          </w:p>
        </w:tc>
      </w:tr>
      <w:tr w:rsidR="00D028ED" w:rsidRPr="00C719E2" w14:paraId="28399DEE" w14:textId="77777777" w:rsidTr="00642968">
        <w:trPr>
          <w:trHeight w:val="240"/>
        </w:trPr>
        <w:tc>
          <w:tcPr>
            <w:tcW w:w="5954" w:type="dxa"/>
            <w:tcBorders>
              <w:top w:val="nil"/>
              <w:left w:val="nil"/>
              <w:bottom w:val="nil"/>
              <w:right w:val="nil"/>
            </w:tcBorders>
            <w:shd w:val="clear" w:color="000000" w:fill="FFFFFF"/>
            <w:noWrap/>
            <w:vAlign w:val="center"/>
            <w:hideMark/>
          </w:tcPr>
          <w:p w14:paraId="1509C2B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Dirección ejecutiva</w:t>
            </w:r>
          </w:p>
        </w:tc>
        <w:tc>
          <w:tcPr>
            <w:tcW w:w="276" w:type="dxa"/>
            <w:tcBorders>
              <w:top w:val="nil"/>
              <w:left w:val="nil"/>
              <w:bottom w:val="nil"/>
              <w:right w:val="nil"/>
            </w:tcBorders>
            <w:shd w:val="clear" w:color="000000" w:fill="FFFFFF"/>
            <w:noWrap/>
            <w:vAlign w:val="center"/>
            <w:hideMark/>
          </w:tcPr>
          <w:p w14:paraId="3280431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5" w:type="dxa"/>
            <w:tcBorders>
              <w:top w:val="nil"/>
              <w:left w:val="nil"/>
              <w:bottom w:val="nil"/>
              <w:right w:val="nil"/>
            </w:tcBorders>
            <w:shd w:val="clear" w:color="000000" w:fill="FFFFFF"/>
            <w:noWrap/>
            <w:vAlign w:val="center"/>
            <w:hideMark/>
          </w:tcPr>
          <w:p w14:paraId="7D99D9C9" w14:textId="4D961B1B"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32</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983,2 </w:t>
            </w:r>
          </w:p>
        </w:tc>
        <w:tc>
          <w:tcPr>
            <w:tcW w:w="266" w:type="dxa"/>
            <w:tcBorders>
              <w:top w:val="nil"/>
              <w:left w:val="nil"/>
              <w:bottom w:val="nil"/>
              <w:right w:val="nil"/>
            </w:tcBorders>
            <w:shd w:val="clear" w:color="000000" w:fill="FFFFFF"/>
            <w:noWrap/>
            <w:vAlign w:val="center"/>
            <w:hideMark/>
          </w:tcPr>
          <w:p w14:paraId="1244E27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6" w:type="dxa"/>
            <w:tcBorders>
              <w:top w:val="nil"/>
              <w:left w:val="nil"/>
              <w:bottom w:val="nil"/>
              <w:right w:val="nil"/>
            </w:tcBorders>
            <w:shd w:val="clear" w:color="000000" w:fill="FFFFFF"/>
            <w:noWrap/>
            <w:vAlign w:val="center"/>
            <w:hideMark/>
          </w:tcPr>
          <w:p w14:paraId="77B0BF2D" w14:textId="548410CD"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32</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591,9 </w:t>
            </w:r>
          </w:p>
        </w:tc>
        <w:tc>
          <w:tcPr>
            <w:tcW w:w="266" w:type="dxa"/>
            <w:tcBorders>
              <w:top w:val="nil"/>
              <w:left w:val="nil"/>
              <w:bottom w:val="nil"/>
              <w:right w:val="nil"/>
            </w:tcBorders>
            <w:shd w:val="clear" w:color="000000" w:fill="FFFFFF"/>
            <w:noWrap/>
            <w:vAlign w:val="center"/>
            <w:hideMark/>
          </w:tcPr>
          <w:p w14:paraId="52A31A4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878" w:type="dxa"/>
            <w:tcBorders>
              <w:top w:val="nil"/>
              <w:left w:val="nil"/>
              <w:bottom w:val="nil"/>
              <w:right w:val="nil"/>
            </w:tcBorders>
            <w:shd w:val="clear" w:color="000000" w:fill="FFFFFF"/>
            <w:noWrap/>
            <w:vAlign w:val="center"/>
            <w:hideMark/>
          </w:tcPr>
          <w:p w14:paraId="56341C97"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391,3</w:t>
            </w:r>
          </w:p>
        </w:tc>
      </w:tr>
      <w:tr w:rsidR="00D028ED" w:rsidRPr="00C719E2" w14:paraId="46B8679B" w14:textId="77777777" w:rsidTr="00642968">
        <w:trPr>
          <w:trHeight w:val="240"/>
        </w:trPr>
        <w:tc>
          <w:tcPr>
            <w:tcW w:w="5954" w:type="dxa"/>
            <w:tcBorders>
              <w:top w:val="nil"/>
              <w:left w:val="nil"/>
              <w:bottom w:val="nil"/>
              <w:right w:val="nil"/>
            </w:tcBorders>
            <w:shd w:val="clear" w:color="000000" w:fill="FFFFFF"/>
            <w:noWrap/>
            <w:vAlign w:val="center"/>
            <w:hideMark/>
          </w:tcPr>
          <w:p w14:paraId="456C7B78"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Supervisión externa e interna</w:t>
            </w:r>
          </w:p>
        </w:tc>
        <w:tc>
          <w:tcPr>
            <w:tcW w:w="276" w:type="dxa"/>
            <w:tcBorders>
              <w:top w:val="nil"/>
              <w:left w:val="nil"/>
              <w:bottom w:val="nil"/>
              <w:right w:val="nil"/>
            </w:tcBorders>
            <w:shd w:val="clear" w:color="000000" w:fill="FFFFFF"/>
            <w:noWrap/>
            <w:vAlign w:val="center"/>
            <w:hideMark/>
          </w:tcPr>
          <w:p w14:paraId="6DC9736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645DE55A" w14:textId="4112FAF4"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4</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928,9 </w:t>
            </w:r>
          </w:p>
        </w:tc>
        <w:tc>
          <w:tcPr>
            <w:tcW w:w="266" w:type="dxa"/>
            <w:tcBorders>
              <w:top w:val="nil"/>
              <w:left w:val="nil"/>
              <w:bottom w:val="nil"/>
              <w:right w:val="nil"/>
            </w:tcBorders>
            <w:shd w:val="clear" w:color="000000" w:fill="FFFFFF"/>
            <w:noWrap/>
            <w:vAlign w:val="center"/>
            <w:hideMark/>
          </w:tcPr>
          <w:p w14:paraId="013495E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center"/>
            <w:hideMark/>
          </w:tcPr>
          <w:p w14:paraId="59684B9C" w14:textId="720D8EF0"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rPr>
            </w:pPr>
            <w:r w:rsidRPr="00C719E2">
              <w:rPr>
                <w:rFonts w:asciiTheme="minorHAnsi" w:hAnsiTheme="minorHAnsi" w:cstheme="minorHAnsi"/>
                <w:sz w:val="18"/>
                <w:szCs w:val="18"/>
              </w:rPr>
              <w:t>4</w:t>
            </w:r>
            <w:r w:rsidR="00682E0E">
              <w:rPr>
                <w:rFonts w:asciiTheme="minorHAnsi" w:hAnsiTheme="minorHAnsi" w:cstheme="minorHAnsi"/>
                <w:sz w:val="18"/>
                <w:szCs w:val="18"/>
              </w:rPr>
              <w:t xml:space="preserve"> </w:t>
            </w:r>
            <w:r w:rsidRPr="00C719E2">
              <w:rPr>
                <w:rFonts w:asciiTheme="minorHAnsi" w:hAnsiTheme="minorHAnsi" w:cstheme="minorHAnsi"/>
                <w:sz w:val="18"/>
                <w:szCs w:val="18"/>
              </w:rPr>
              <w:t xml:space="preserve">928,9 </w:t>
            </w:r>
          </w:p>
        </w:tc>
        <w:tc>
          <w:tcPr>
            <w:tcW w:w="266" w:type="dxa"/>
            <w:tcBorders>
              <w:top w:val="nil"/>
              <w:left w:val="nil"/>
              <w:bottom w:val="nil"/>
              <w:right w:val="nil"/>
            </w:tcBorders>
            <w:shd w:val="clear" w:color="000000" w:fill="FFFFFF"/>
            <w:noWrap/>
            <w:vAlign w:val="center"/>
            <w:hideMark/>
          </w:tcPr>
          <w:p w14:paraId="1129877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013E1BAD"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w:t>
            </w:r>
          </w:p>
        </w:tc>
      </w:tr>
      <w:tr w:rsidR="00D028ED" w:rsidRPr="00C719E2" w14:paraId="08D83215" w14:textId="77777777" w:rsidTr="00642968">
        <w:trPr>
          <w:trHeight w:val="120"/>
        </w:trPr>
        <w:tc>
          <w:tcPr>
            <w:tcW w:w="5954" w:type="dxa"/>
            <w:tcBorders>
              <w:top w:val="nil"/>
              <w:left w:val="nil"/>
              <w:bottom w:val="nil"/>
              <w:right w:val="nil"/>
            </w:tcBorders>
            <w:shd w:val="clear" w:color="000000" w:fill="FFFFFF"/>
            <w:noWrap/>
            <w:vAlign w:val="center"/>
            <w:hideMark/>
          </w:tcPr>
          <w:p w14:paraId="2B6B822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center"/>
            <w:hideMark/>
          </w:tcPr>
          <w:p w14:paraId="566CACC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single" w:sz="8" w:space="0" w:color="auto"/>
              <w:right w:val="nil"/>
            </w:tcBorders>
            <w:shd w:val="clear" w:color="000000" w:fill="FFFFFF"/>
            <w:noWrap/>
            <w:vAlign w:val="center"/>
            <w:hideMark/>
          </w:tcPr>
          <w:p w14:paraId="222CC78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center"/>
            <w:hideMark/>
          </w:tcPr>
          <w:p w14:paraId="2AF038B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8" w:space="0" w:color="auto"/>
              <w:right w:val="nil"/>
            </w:tcBorders>
            <w:shd w:val="clear" w:color="000000" w:fill="FFFFFF"/>
            <w:noWrap/>
            <w:vAlign w:val="center"/>
            <w:hideMark/>
          </w:tcPr>
          <w:p w14:paraId="5CBCFC8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center"/>
            <w:hideMark/>
          </w:tcPr>
          <w:p w14:paraId="592FBEE6"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8" w:space="0" w:color="auto"/>
              <w:right w:val="nil"/>
            </w:tcBorders>
            <w:shd w:val="clear" w:color="000000" w:fill="FFFFFF"/>
            <w:noWrap/>
            <w:vAlign w:val="center"/>
            <w:hideMark/>
          </w:tcPr>
          <w:p w14:paraId="17BB55D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C719E2" w14:paraId="5CD78336" w14:textId="77777777" w:rsidTr="00642968">
        <w:trPr>
          <w:trHeight w:val="240"/>
        </w:trPr>
        <w:tc>
          <w:tcPr>
            <w:tcW w:w="5954" w:type="dxa"/>
            <w:tcBorders>
              <w:top w:val="nil"/>
              <w:left w:val="nil"/>
              <w:bottom w:val="nil"/>
              <w:right w:val="nil"/>
            </w:tcBorders>
            <w:shd w:val="clear" w:color="000000" w:fill="FFFFFF"/>
            <w:noWrap/>
            <w:vAlign w:val="center"/>
            <w:hideMark/>
          </w:tcPr>
          <w:p w14:paraId="69060C78"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SUBTOTAL</w:t>
            </w:r>
          </w:p>
        </w:tc>
        <w:tc>
          <w:tcPr>
            <w:tcW w:w="276" w:type="dxa"/>
            <w:tcBorders>
              <w:top w:val="nil"/>
              <w:left w:val="nil"/>
              <w:bottom w:val="nil"/>
              <w:right w:val="nil"/>
            </w:tcBorders>
            <w:shd w:val="clear" w:color="000000" w:fill="FFFFFF"/>
            <w:noWrap/>
            <w:vAlign w:val="center"/>
            <w:hideMark/>
          </w:tcPr>
          <w:p w14:paraId="2819445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5" w:type="dxa"/>
            <w:tcBorders>
              <w:top w:val="nil"/>
              <w:left w:val="nil"/>
              <w:bottom w:val="nil"/>
              <w:right w:val="nil"/>
            </w:tcBorders>
            <w:shd w:val="clear" w:color="000000" w:fill="FFFFFF"/>
            <w:noWrap/>
            <w:vAlign w:val="center"/>
            <w:hideMark/>
          </w:tcPr>
          <w:p w14:paraId="6C5EA067" w14:textId="41D33E06"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43</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747,0 </w:t>
            </w:r>
          </w:p>
        </w:tc>
        <w:tc>
          <w:tcPr>
            <w:tcW w:w="266" w:type="dxa"/>
            <w:tcBorders>
              <w:top w:val="nil"/>
              <w:left w:val="nil"/>
              <w:bottom w:val="nil"/>
              <w:right w:val="nil"/>
            </w:tcBorders>
            <w:shd w:val="clear" w:color="000000" w:fill="FFFFFF"/>
            <w:noWrap/>
            <w:vAlign w:val="center"/>
            <w:hideMark/>
          </w:tcPr>
          <w:p w14:paraId="053C8C7A"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6" w:type="dxa"/>
            <w:tcBorders>
              <w:top w:val="nil"/>
              <w:left w:val="nil"/>
              <w:bottom w:val="nil"/>
              <w:right w:val="nil"/>
            </w:tcBorders>
            <w:shd w:val="clear" w:color="000000" w:fill="FFFFFF"/>
            <w:noWrap/>
            <w:vAlign w:val="center"/>
            <w:hideMark/>
          </w:tcPr>
          <w:p w14:paraId="7EE5DDF0" w14:textId="5D2B76A3"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43</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019,9 </w:t>
            </w:r>
          </w:p>
        </w:tc>
        <w:tc>
          <w:tcPr>
            <w:tcW w:w="266" w:type="dxa"/>
            <w:tcBorders>
              <w:top w:val="nil"/>
              <w:left w:val="nil"/>
              <w:bottom w:val="nil"/>
              <w:right w:val="nil"/>
            </w:tcBorders>
            <w:shd w:val="clear" w:color="000000" w:fill="FFFFFF"/>
            <w:noWrap/>
            <w:vAlign w:val="center"/>
            <w:hideMark/>
          </w:tcPr>
          <w:p w14:paraId="5380342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878" w:type="dxa"/>
            <w:tcBorders>
              <w:top w:val="nil"/>
              <w:left w:val="nil"/>
              <w:bottom w:val="nil"/>
              <w:right w:val="nil"/>
            </w:tcBorders>
            <w:shd w:val="clear" w:color="000000" w:fill="FFFFFF"/>
            <w:noWrap/>
            <w:vAlign w:val="center"/>
            <w:hideMark/>
          </w:tcPr>
          <w:p w14:paraId="785E8314"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 xml:space="preserve">727,1 </w:t>
            </w:r>
          </w:p>
        </w:tc>
      </w:tr>
      <w:tr w:rsidR="00D028ED" w:rsidRPr="00C719E2" w14:paraId="312A4DB3" w14:textId="77777777" w:rsidTr="00642968">
        <w:trPr>
          <w:trHeight w:val="240"/>
        </w:trPr>
        <w:tc>
          <w:tcPr>
            <w:tcW w:w="5954" w:type="dxa"/>
            <w:tcBorders>
              <w:top w:val="nil"/>
              <w:left w:val="nil"/>
              <w:bottom w:val="nil"/>
              <w:right w:val="nil"/>
            </w:tcBorders>
            <w:shd w:val="clear" w:color="000000" w:fill="FFFFFF"/>
            <w:noWrap/>
            <w:vAlign w:val="center"/>
            <w:hideMark/>
          </w:tcPr>
          <w:p w14:paraId="52D18CA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4C0DBAE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nil"/>
              <w:right w:val="nil"/>
            </w:tcBorders>
            <w:shd w:val="clear" w:color="000000" w:fill="FFFFFF"/>
            <w:noWrap/>
            <w:vAlign w:val="center"/>
            <w:hideMark/>
          </w:tcPr>
          <w:p w14:paraId="45C93B9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5400D93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nil"/>
              <w:right w:val="nil"/>
            </w:tcBorders>
            <w:shd w:val="clear" w:color="000000" w:fill="FFFFFF"/>
            <w:noWrap/>
            <w:vAlign w:val="bottom"/>
            <w:hideMark/>
          </w:tcPr>
          <w:p w14:paraId="3F9AE5E2"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3471D81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nil"/>
              <w:right w:val="nil"/>
            </w:tcBorders>
            <w:shd w:val="clear" w:color="000000" w:fill="FFFFFF"/>
            <w:noWrap/>
            <w:vAlign w:val="center"/>
            <w:hideMark/>
          </w:tcPr>
          <w:p w14:paraId="0E7B745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C719E2" w14:paraId="216F5E4E" w14:textId="77777777" w:rsidTr="00642968">
        <w:trPr>
          <w:trHeight w:val="240"/>
        </w:trPr>
        <w:tc>
          <w:tcPr>
            <w:tcW w:w="5954" w:type="dxa"/>
            <w:tcBorders>
              <w:top w:val="nil"/>
              <w:left w:val="nil"/>
              <w:bottom w:val="nil"/>
              <w:right w:val="nil"/>
            </w:tcBorders>
            <w:shd w:val="clear" w:color="000000" w:fill="FFFFFF"/>
            <w:noWrap/>
            <w:vAlign w:val="center"/>
            <w:hideMark/>
          </w:tcPr>
          <w:p w14:paraId="3EF392A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rPr>
            </w:pPr>
            <w:r w:rsidRPr="00C719E2">
              <w:rPr>
                <w:rFonts w:asciiTheme="minorHAnsi" w:hAnsiTheme="minorHAnsi" w:cstheme="minorHAnsi"/>
                <w:b/>
                <w:sz w:val="18"/>
                <w:szCs w:val="18"/>
                <w:lang w:val="es-ES"/>
              </w:rPr>
              <w:t xml:space="preserve">PARTE VII.  </w:t>
            </w:r>
            <w:r w:rsidRPr="00C719E2">
              <w:rPr>
                <w:rFonts w:asciiTheme="minorHAnsi" w:hAnsiTheme="minorHAnsi" w:cstheme="minorHAnsi"/>
                <w:sz w:val="18"/>
                <w:szCs w:val="18"/>
                <w:lang w:val="es-ES"/>
              </w:rPr>
              <w:t>Servicio lingüístico y de conferencias</w:t>
            </w:r>
          </w:p>
        </w:tc>
        <w:tc>
          <w:tcPr>
            <w:tcW w:w="276" w:type="dxa"/>
            <w:tcBorders>
              <w:top w:val="nil"/>
              <w:left w:val="nil"/>
              <w:bottom w:val="nil"/>
              <w:right w:val="nil"/>
            </w:tcBorders>
            <w:shd w:val="clear" w:color="000000" w:fill="FFFFFF"/>
            <w:noWrap/>
            <w:vAlign w:val="center"/>
            <w:hideMark/>
          </w:tcPr>
          <w:p w14:paraId="214F286E"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val="es-ES" w:eastAsia="zh-CN"/>
              </w:rPr>
            </w:pPr>
            <w:r w:rsidRPr="00C719E2">
              <w:rPr>
                <w:rFonts w:asciiTheme="minorHAnsi" w:eastAsia="Times New Roman" w:hAnsiTheme="minorHAnsi" w:cstheme="minorHAnsi"/>
                <w:b/>
                <w:color w:val="000000"/>
                <w:sz w:val="18"/>
                <w:szCs w:val="18"/>
                <w:lang w:val="es-ES"/>
              </w:rPr>
              <w:t> </w:t>
            </w:r>
          </w:p>
        </w:tc>
        <w:tc>
          <w:tcPr>
            <w:tcW w:w="985" w:type="dxa"/>
            <w:tcBorders>
              <w:top w:val="nil"/>
              <w:left w:val="nil"/>
              <w:bottom w:val="nil"/>
              <w:right w:val="nil"/>
            </w:tcBorders>
            <w:shd w:val="clear" w:color="000000" w:fill="FFFFFF"/>
            <w:noWrap/>
            <w:vAlign w:val="center"/>
            <w:hideMark/>
          </w:tcPr>
          <w:p w14:paraId="74CECA2A" w14:textId="48A06D6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33</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666,0 </w:t>
            </w:r>
          </w:p>
        </w:tc>
        <w:tc>
          <w:tcPr>
            <w:tcW w:w="266" w:type="dxa"/>
            <w:tcBorders>
              <w:top w:val="nil"/>
              <w:left w:val="nil"/>
              <w:bottom w:val="nil"/>
              <w:right w:val="nil"/>
            </w:tcBorders>
            <w:shd w:val="clear" w:color="000000" w:fill="FFFFFF"/>
            <w:noWrap/>
            <w:vAlign w:val="center"/>
            <w:hideMark/>
          </w:tcPr>
          <w:p w14:paraId="3C2EB50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986" w:type="dxa"/>
            <w:tcBorders>
              <w:top w:val="nil"/>
              <w:left w:val="nil"/>
              <w:bottom w:val="nil"/>
              <w:right w:val="nil"/>
            </w:tcBorders>
            <w:shd w:val="clear" w:color="000000" w:fill="FFFFFF"/>
            <w:noWrap/>
            <w:vAlign w:val="center"/>
            <w:hideMark/>
          </w:tcPr>
          <w:p w14:paraId="66E3AC7A" w14:textId="7100AB61"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33</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666,0 </w:t>
            </w:r>
          </w:p>
        </w:tc>
        <w:tc>
          <w:tcPr>
            <w:tcW w:w="266" w:type="dxa"/>
            <w:tcBorders>
              <w:top w:val="nil"/>
              <w:left w:val="nil"/>
              <w:bottom w:val="nil"/>
              <w:right w:val="nil"/>
            </w:tcBorders>
            <w:shd w:val="clear" w:color="000000" w:fill="FFFFFF"/>
            <w:noWrap/>
            <w:vAlign w:val="center"/>
            <w:hideMark/>
          </w:tcPr>
          <w:p w14:paraId="475CA37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 </w:t>
            </w:r>
          </w:p>
        </w:tc>
        <w:tc>
          <w:tcPr>
            <w:tcW w:w="878" w:type="dxa"/>
            <w:tcBorders>
              <w:top w:val="nil"/>
              <w:left w:val="nil"/>
              <w:bottom w:val="nil"/>
              <w:right w:val="nil"/>
            </w:tcBorders>
            <w:shd w:val="clear" w:color="000000" w:fill="FFFFFF"/>
            <w:noWrap/>
            <w:vAlign w:val="center"/>
            <w:hideMark/>
          </w:tcPr>
          <w:p w14:paraId="47F87362" w14:textId="77777777"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lang w:eastAsia="zh-CN"/>
              </w:rPr>
            </w:pPr>
            <w:r w:rsidRPr="00C719E2">
              <w:rPr>
                <w:rFonts w:asciiTheme="minorHAnsi" w:eastAsia="Times New Roman" w:hAnsiTheme="minorHAnsi" w:cstheme="minorHAnsi"/>
                <w:b/>
                <w:color w:val="000000"/>
                <w:sz w:val="18"/>
                <w:szCs w:val="18"/>
              </w:rPr>
              <w:t>-</w:t>
            </w:r>
          </w:p>
        </w:tc>
      </w:tr>
      <w:tr w:rsidR="00D028ED" w:rsidRPr="00C719E2" w14:paraId="2256C417" w14:textId="77777777" w:rsidTr="00642968">
        <w:trPr>
          <w:trHeight w:val="252"/>
        </w:trPr>
        <w:tc>
          <w:tcPr>
            <w:tcW w:w="5954" w:type="dxa"/>
            <w:tcBorders>
              <w:top w:val="nil"/>
              <w:left w:val="nil"/>
              <w:bottom w:val="nil"/>
              <w:right w:val="nil"/>
            </w:tcBorders>
            <w:shd w:val="clear" w:color="000000" w:fill="FFFFFF"/>
            <w:noWrap/>
            <w:vAlign w:val="bottom"/>
            <w:hideMark/>
          </w:tcPr>
          <w:p w14:paraId="488198CC"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76" w:type="dxa"/>
            <w:tcBorders>
              <w:top w:val="nil"/>
              <w:left w:val="nil"/>
              <w:bottom w:val="nil"/>
              <w:right w:val="nil"/>
            </w:tcBorders>
            <w:shd w:val="clear" w:color="000000" w:fill="FFFFFF"/>
            <w:noWrap/>
            <w:vAlign w:val="bottom"/>
            <w:hideMark/>
          </w:tcPr>
          <w:p w14:paraId="2ECFA85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single" w:sz="8" w:space="0" w:color="auto"/>
              <w:right w:val="nil"/>
            </w:tcBorders>
            <w:shd w:val="clear" w:color="000000" w:fill="FFFFFF"/>
            <w:noWrap/>
            <w:vAlign w:val="center"/>
            <w:hideMark/>
          </w:tcPr>
          <w:p w14:paraId="6F7B0B51"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5E6E1537"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single" w:sz="8" w:space="0" w:color="auto"/>
              <w:right w:val="nil"/>
            </w:tcBorders>
            <w:shd w:val="clear" w:color="000000" w:fill="FFFFFF"/>
            <w:noWrap/>
            <w:vAlign w:val="bottom"/>
            <w:hideMark/>
          </w:tcPr>
          <w:p w14:paraId="4030C34F"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266" w:type="dxa"/>
            <w:tcBorders>
              <w:top w:val="nil"/>
              <w:left w:val="nil"/>
              <w:bottom w:val="nil"/>
              <w:right w:val="nil"/>
            </w:tcBorders>
            <w:shd w:val="clear" w:color="000000" w:fill="FFFFFF"/>
            <w:noWrap/>
            <w:vAlign w:val="bottom"/>
            <w:hideMark/>
          </w:tcPr>
          <w:p w14:paraId="29C18FD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single" w:sz="8" w:space="0" w:color="auto"/>
              <w:right w:val="nil"/>
            </w:tcBorders>
            <w:shd w:val="clear" w:color="000000" w:fill="FFFFFF"/>
            <w:noWrap/>
            <w:vAlign w:val="center"/>
            <w:hideMark/>
          </w:tcPr>
          <w:p w14:paraId="01B89C74"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r>
      <w:tr w:rsidR="00D028ED" w:rsidRPr="00C719E2" w14:paraId="206E9456" w14:textId="77777777" w:rsidTr="00642968">
        <w:trPr>
          <w:trHeight w:val="252"/>
        </w:trPr>
        <w:tc>
          <w:tcPr>
            <w:tcW w:w="5954" w:type="dxa"/>
            <w:tcBorders>
              <w:top w:val="nil"/>
              <w:left w:val="nil"/>
              <w:bottom w:val="nil"/>
              <w:right w:val="nil"/>
            </w:tcBorders>
            <w:shd w:val="clear" w:color="000000" w:fill="FFFFFF"/>
            <w:noWrap/>
            <w:vAlign w:val="center"/>
            <w:hideMark/>
          </w:tcPr>
          <w:p w14:paraId="75AD77CD"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TOTAL</w:t>
            </w:r>
          </w:p>
        </w:tc>
        <w:tc>
          <w:tcPr>
            <w:tcW w:w="276" w:type="dxa"/>
            <w:tcBorders>
              <w:top w:val="nil"/>
              <w:left w:val="nil"/>
              <w:bottom w:val="nil"/>
              <w:right w:val="nil"/>
            </w:tcBorders>
            <w:shd w:val="clear" w:color="000000" w:fill="FFFFFF"/>
            <w:noWrap/>
            <w:vAlign w:val="center"/>
            <w:hideMark/>
          </w:tcPr>
          <w:p w14:paraId="1AD9F553"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5" w:type="dxa"/>
            <w:tcBorders>
              <w:top w:val="nil"/>
              <w:left w:val="nil"/>
              <w:bottom w:val="double" w:sz="6" w:space="0" w:color="auto"/>
              <w:right w:val="nil"/>
            </w:tcBorders>
            <w:shd w:val="clear" w:color="000000" w:fill="FFFFFF"/>
            <w:noWrap/>
            <w:vAlign w:val="center"/>
            <w:hideMark/>
          </w:tcPr>
          <w:p w14:paraId="36A542C0" w14:textId="54068DBB"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290</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396,4 </w:t>
            </w:r>
          </w:p>
        </w:tc>
        <w:tc>
          <w:tcPr>
            <w:tcW w:w="266" w:type="dxa"/>
            <w:tcBorders>
              <w:top w:val="nil"/>
              <w:left w:val="nil"/>
              <w:bottom w:val="nil"/>
              <w:right w:val="nil"/>
            </w:tcBorders>
            <w:shd w:val="clear" w:color="000000" w:fill="FFFFFF"/>
            <w:noWrap/>
            <w:vAlign w:val="center"/>
            <w:hideMark/>
          </w:tcPr>
          <w:p w14:paraId="7CFE922B"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986" w:type="dxa"/>
            <w:tcBorders>
              <w:top w:val="nil"/>
              <w:left w:val="nil"/>
              <w:bottom w:val="double" w:sz="6" w:space="0" w:color="auto"/>
              <w:right w:val="nil"/>
            </w:tcBorders>
            <w:shd w:val="clear" w:color="000000" w:fill="FFFFFF"/>
            <w:noWrap/>
            <w:vAlign w:val="center"/>
            <w:hideMark/>
          </w:tcPr>
          <w:p w14:paraId="4D3A7455" w14:textId="0C2A57CE"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271</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544,4 </w:t>
            </w:r>
          </w:p>
        </w:tc>
        <w:tc>
          <w:tcPr>
            <w:tcW w:w="266" w:type="dxa"/>
            <w:tcBorders>
              <w:top w:val="nil"/>
              <w:left w:val="nil"/>
              <w:bottom w:val="nil"/>
              <w:right w:val="nil"/>
            </w:tcBorders>
            <w:shd w:val="clear" w:color="000000" w:fill="FFFFFF"/>
            <w:noWrap/>
            <w:vAlign w:val="center"/>
            <w:hideMark/>
          </w:tcPr>
          <w:p w14:paraId="568DAC55" w14:textId="77777777" w:rsidR="00D028ED" w:rsidRPr="00C719E2" w:rsidRDefault="00D028ED" w:rsidP="00D028ED">
            <w:pPr>
              <w:tabs>
                <w:tab w:val="clear" w:pos="1134"/>
                <w:tab w:val="left" w:pos="1418"/>
              </w:tabs>
              <w:spacing w:after="200"/>
              <w:jc w:val="left"/>
              <w:rPr>
                <w:rFonts w:asciiTheme="minorHAnsi" w:eastAsia="Times New Roman" w:hAnsiTheme="minorHAnsi" w:cstheme="minorHAnsi"/>
                <w:color w:val="000000"/>
                <w:sz w:val="18"/>
                <w:szCs w:val="18"/>
                <w:lang w:eastAsia="zh-CN"/>
              </w:rPr>
            </w:pPr>
            <w:r w:rsidRPr="00C719E2">
              <w:rPr>
                <w:rFonts w:asciiTheme="minorHAnsi" w:eastAsia="Times New Roman" w:hAnsiTheme="minorHAnsi" w:cstheme="minorHAnsi"/>
                <w:color w:val="000000"/>
                <w:sz w:val="18"/>
                <w:szCs w:val="18"/>
              </w:rPr>
              <w:t> </w:t>
            </w:r>
          </w:p>
        </w:tc>
        <w:tc>
          <w:tcPr>
            <w:tcW w:w="878" w:type="dxa"/>
            <w:tcBorders>
              <w:top w:val="nil"/>
              <w:left w:val="nil"/>
              <w:bottom w:val="double" w:sz="6" w:space="0" w:color="auto"/>
              <w:right w:val="nil"/>
            </w:tcBorders>
            <w:shd w:val="clear" w:color="000000" w:fill="FFFFFF"/>
            <w:noWrap/>
            <w:vAlign w:val="center"/>
            <w:hideMark/>
          </w:tcPr>
          <w:p w14:paraId="14190F59" w14:textId="29011406" w:rsidR="00D028ED" w:rsidRPr="00C719E2" w:rsidRDefault="00D028ED" w:rsidP="00D028ED">
            <w:pPr>
              <w:tabs>
                <w:tab w:val="clear" w:pos="1134"/>
                <w:tab w:val="left" w:pos="1418"/>
              </w:tabs>
              <w:spacing w:after="200"/>
              <w:jc w:val="right"/>
              <w:rPr>
                <w:rFonts w:asciiTheme="minorHAnsi" w:eastAsia="Times New Roman" w:hAnsiTheme="minorHAnsi" w:cstheme="minorHAnsi"/>
                <w:b/>
                <w:bCs/>
                <w:color w:val="000000"/>
                <w:sz w:val="18"/>
                <w:szCs w:val="18"/>
              </w:rPr>
            </w:pPr>
            <w:r w:rsidRPr="00C719E2">
              <w:rPr>
                <w:rFonts w:asciiTheme="minorHAnsi" w:hAnsiTheme="minorHAnsi" w:cstheme="minorHAnsi"/>
                <w:b/>
                <w:sz w:val="18"/>
                <w:szCs w:val="18"/>
              </w:rPr>
              <w:t>18</w:t>
            </w:r>
            <w:r w:rsidR="00682E0E">
              <w:rPr>
                <w:rFonts w:asciiTheme="minorHAnsi" w:hAnsiTheme="minorHAnsi" w:cstheme="minorHAnsi"/>
                <w:b/>
                <w:sz w:val="18"/>
                <w:szCs w:val="18"/>
              </w:rPr>
              <w:t xml:space="preserve"> </w:t>
            </w:r>
            <w:r w:rsidRPr="00C719E2">
              <w:rPr>
                <w:rFonts w:asciiTheme="minorHAnsi" w:hAnsiTheme="minorHAnsi" w:cstheme="minorHAnsi"/>
                <w:b/>
                <w:sz w:val="18"/>
                <w:szCs w:val="18"/>
              </w:rPr>
              <w:t xml:space="preserve">852,0 </w:t>
            </w:r>
          </w:p>
        </w:tc>
      </w:tr>
    </w:tbl>
    <w:p w14:paraId="4D3D7A43" w14:textId="77777777" w:rsidR="00D028ED" w:rsidRPr="00C719E2" w:rsidRDefault="00D028ED" w:rsidP="00D028ED">
      <w:pPr>
        <w:tabs>
          <w:tab w:val="clear" w:pos="1134"/>
          <w:tab w:val="left" w:pos="1418"/>
        </w:tabs>
        <w:spacing w:after="200"/>
        <w:jc w:val="left"/>
        <w:rPr>
          <w:rFonts w:asciiTheme="minorHAnsi" w:eastAsiaTheme="minorEastAsia" w:hAnsiTheme="minorHAnsi" w:cstheme="minorHAnsi"/>
          <w:b/>
          <w:i/>
          <w:sz w:val="18"/>
          <w:szCs w:val="18"/>
          <w:lang w:eastAsia="zh-CN"/>
        </w:rPr>
      </w:pPr>
      <w:r w:rsidRPr="00C719E2">
        <w:rPr>
          <w:rFonts w:asciiTheme="minorHAnsi" w:eastAsiaTheme="minorEastAsia" w:hAnsiTheme="minorHAnsi" w:cstheme="minorHAnsi"/>
          <w:noProof/>
          <w:sz w:val="18"/>
          <w:szCs w:val="18"/>
        </w:rPr>
        <w:fldChar w:fldCharType="end"/>
      </w:r>
    </w:p>
    <w:p w14:paraId="4A884012"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rPr>
      </w:pPr>
      <w:bookmarkStart w:id="7" w:name="_Toc121390459"/>
      <w:r>
        <w:rPr>
          <w:b/>
        </w:rPr>
        <w:t>Impacto de la inflación</w:t>
      </w:r>
      <w:bookmarkEnd w:id="7"/>
    </w:p>
    <w:p w14:paraId="680EC34F" w14:textId="3BDA915D"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El análisis histórico del impacto de la inflación, descrito en los párrafos 21 y 22 infra, identifica una pérdida acumulada significativa de poder adquisitivo en el presupuesto de la Secretaría para el decimoctavo </w:t>
      </w:r>
      <w:r w:rsidR="00DC6334">
        <w:rPr>
          <w:rFonts w:eastAsiaTheme="minorHAnsi" w:cstheme="minorBidi"/>
          <w:lang w:val="es-ES"/>
        </w:rPr>
        <w:t>ejercicio económico</w:t>
      </w:r>
      <w:r w:rsidRPr="00755E85">
        <w:rPr>
          <w:rFonts w:eastAsiaTheme="minorHAnsi" w:cstheme="minorBidi"/>
          <w:lang w:val="es-ES"/>
        </w:rPr>
        <w:t xml:space="preserve"> en comparación con el último presupuesto de crecimiento real adoptado en 1995. La introducción acumulativa de medidas de ahorro y eficiencia acompañadas de aumentos ocasionales moderados del presupuesto para esferas programáticas específicas en los últimos </w:t>
      </w:r>
      <w:r w:rsidR="00653EC7">
        <w:rPr>
          <w:rFonts w:eastAsiaTheme="minorHAnsi" w:cstheme="minorBidi"/>
          <w:lang w:val="es-ES"/>
        </w:rPr>
        <w:t>ejercicios económicos</w:t>
      </w:r>
      <w:r w:rsidRPr="00755E85">
        <w:rPr>
          <w:rFonts w:eastAsiaTheme="minorHAnsi" w:cstheme="minorBidi"/>
          <w:lang w:val="es-ES"/>
        </w:rPr>
        <w:t xml:space="preserve"> ha permitido a la </w:t>
      </w:r>
      <w:r w:rsidRPr="00755E85">
        <w:rPr>
          <w:rFonts w:eastAsiaTheme="minorHAnsi" w:cstheme="minorBidi"/>
          <w:lang w:val="es-ES"/>
        </w:rPr>
        <w:lastRenderedPageBreak/>
        <w:t xml:space="preserve">Organización absorber parte del impacto de la erosión en el poder adquisitivo como resultado de la inflación acumulada durante más de 20 años. La inflación, ignorada o no financiada, reducirá la capacidad de la OMM para aplicar su mandato de manera eficaz. Dada la situación actual, cuando los indicadores de inflación </w:t>
      </w:r>
      <w:r w:rsidR="00E37A54">
        <w:rPr>
          <w:rFonts w:eastAsiaTheme="minorHAnsi" w:cstheme="minorBidi"/>
          <w:lang w:val="es-ES"/>
        </w:rPr>
        <w:t>de</w:t>
      </w:r>
      <w:r w:rsidRPr="00755E85">
        <w:rPr>
          <w:rFonts w:eastAsiaTheme="minorHAnsi" w:cstheme="minorBidi"/>
          <w:lang w:val="es-ES"/>
        </w:rPr>
        <w:t xml:space="preserve"> medio a largo plazo están pronosticando un nivel más alto de inflación en los próximos años, el impacto de la inflación debe considerarse explícitamente y tenerse en cuenta en la cuantía máxima de los gastos y en otras estimaciones presupuestarias.</w:t>
      </w:r>
    </w:p>
    <w:p w14:paraId="1967A690" w14:textId="569DB198"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Dado que las operaciones de la Secretaría están centralizadas principalmente en Suiza y la mayoría de los gastos son relacionados con el personal, el índice de inflación </w:t>
      </w:r>
      <w:r w:rsidR="00712335">
        <w:rPr>
          <w:rFonts w:eastAsiaTheme="minorHAnsi" w:cstheme="minorBidi"/>
          <w:lang w:val="es-ES"/>
        </w:rPr>
        <w:t>de</w:t>
      </w:r>
      <w:r w:rsidRPr="00755E85">
        <w:rPr>
          <w:rFonts w:eastAsiaTheme="minorHAnsi" w:cstheme="minorBidi"/>
          <w:lang w:val="es-ES"/>
        </w:rPr>
        <w:t xml:space="preserve"> Suiza </w:t>
      </w:r>
      <w:r w:rsidR="00712335">
        <w:rPr>
          <w:rFonts w:eastAsiaTheme="minorHAnsi" w:cstheme="minorBidi"/>
          <w:lang w:val="es-ES"/>
        </w:rPr>
        <w:t>resulta</w:t>
      </w:r>
      <w:r w:rsidRPr="00755E85">
        <w:rPr>
          <w:rFonts w:eastAsiaTheme="minorHAnsi" w:cstheme="minorBidi"/>
          <w:lang w:val="es-ES"/>
        </w:rPr>
        <w:t xml:space="preserve"> la medida más adecuada. El índice de inflación estimado que se utilizará para fines presupuestarios debe estar disponible públicamente, reconocido internacionalmente y abarcado el período de predicción. Los tipos de inflación públicamente disponibles de las autoridades cantonales de Ginebra y el Banco Nacional Suizo están disponibles y</w:t>
      </w:r>
      <w:r w:rsidR="00080476">
        <w:rPr>
          <w:rFonts w:eastAsiaTheme="minorHAnsi" w:cstheme="minorBidi"/>
          <w:lang w:val="es-ES"/>
        </w:rPr>
        <w:t xml:space="preserve"> son</w:t>
      </w:r>
      <w:r w:rsidRPr="00755E85">
        <w:rPr>
          <w:rFonts w:eastAsiaTheme="minorHAnsi" w:cstheme="minorBidi"/>
          <w:lang w:val="es-ES"/>
        </w:rPr>
        <w:t xml:space="preserve"> respetados; Sin embargo, no abarcan el período de predicción. El Fondo Monetario Internacional (FMI) publica estimaciones de inflación basadas en Suiza, es una institución reconocida para proporcionar esos datos financieros y publica predicciones a medio plazo (es decir, de cuatro a seis años). Por lo tanto, el FMI publicó el índice de inflación como indicador apropiado y se incorpora en el cálculo de la cuantía máxima de los gastos y de otras estimaciones presupuestarias.</w:t>
      </w:r>
    </w:p>
    <w:p w14:paraId="386D9544" w14:textId="2755AE79"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La inflación y su impacto en los costos de personal se consideran explícitamente en cada uno de los escenarios de máximo gasto propuestos. El resentimiento resultante de una encuesta sobre el costo de vida de noviembre de 2021 realizada por la Comisión de Administración Pública Internacional (CCI) en Ginebra, así como el impacto de la inflación en otros gastos de personal en las estaciones de destino distintas de Ginebra se tradujo en un aumento aproximado de 2,0 % (impacto neto de 4,3 millones de francos suizos en el crecimiento nominal cero y 4,5 millones de francos en la propuesta del Secretario General) en el costo del personal de predicción durante el </w:t>
      </w:r>
      <w:r w:rsidR="001303FF">
        <w:rPr>
          <w:rFonts w:eastAsiaTheme="minorHAnsi" w:cstheme="minorBidi"/>
          <w:lang w:val="es-ES"/>
        </w:rPr>
        <w:t>ejercicio económico</w:t>
      </w:r>
      <w:r w:rsidRPr="00755E85">
        <w:rPr>
          <w:rFonts w:eastAsiaTheme="minorHAnsi" w:cstheme="minorBidi"/>
          <w:lang w:val="es-ES"/>
        </w:rPr>
        <w:t xml:space="preserve"> 2024-2027. La estimación anterior puede ajustarse teniendo en cuenta la comparación entre Ginebra y Nueva York de los índices de inflación (de conformidad con la metodología de</w:t>
      </w:r>
      <w:r w:rsidR="00744A62">
        <w:rPr>
          <w:rFonts w:eastAsiaTheme="minorHAnsi" w:cstheme="minorBidi"/>
          <w:lang w:val="es-ES"/>
        </w:rPr>
        <w:t xml:space="preserve">l </w:t>
      </w:r>
      <w:r w:rsidRPr="00755E85">
        <w:rPr>
          <w:rFonts w:eastAsiaTheme="minorHAnsi" w:cstheme="minorBidi"/>
          <w:lang w:val="es-ES"/>
        </w:rPr>
        <w:t>I</w:t>
      </w:r>
      <w:r w:rsidR="00744A62">
        <w:rPr>
          <w:rFonts w:eastAsiaTheme="minorHAnsi" w:cstheme="minorBidi"/>
          <w:lang w:val="es-ES"/>
        </w:rPr>
        <w:t>C</w:t>
      </w:r>
      <w:r w:rsidRPr="00755E85">
        <w:rPr>
          <w:rFonts w:eastAsiaTheme="minorHAnsi" w:cstheme="minorBidi"/>
          <w:lang w:val="es-ES"/>
        </w:rPr>
        <w:t>SC) si se estima que se prevé que se produzcan predicciones inflacionarias en Ginebra a más tardar en febrero de 2023.</w:t>
      </w:r>
    </w:p>
    <w:p w14:paraId="5F0418F5" w14:textId="1BB94FE5"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Además, el entorno </w:t>
      </w:r>
      <w:r w:rsidR="00744A62" w:rsidRPr="00755E85">
        <w:rPr>
          <w:rFonts w:eastAsiaTheme="minorHAnsi" w:cstheme="minorBidi"/>
          <w:lang w:val="es-ES"/>
        </w:rPr>
        <w:t>macroeconómico</w:t>
      </w:r>
      <w:r w:rsidRPr="00755E85">
        <w:rPr>
          <w:rFonts w:eastAsiaTheme="minorHAnsi" w:cstheme="minorBidi"/>
          <w:lang w:val="es-ES"/>
        </w:rPr>
        <w:t xml:space="preserve">, tanto a nivel mundial como específicamente en Suiza y en otros lugares donde la OMM tiene operaciones, ha dado lugar a tasas de inflación que son más altas que las experimentadas en los últimos años. Se estima que el impacto previsto de la inflación en los costos no relacionados con el personal que están sujetos a un impacto inflacionario es del 2,0 % (impacto neto de 1,2 millones de francos suizos en el crecimiento nominal cero y 1,4 millones de francos suizos en la propuesta del Secretario General). Además, el entorno </w:t>
      </w:r>
      <w:r w:rsidR="0041151E" w:rsidRPr="00755E85">
        <w:rPr>
          <w:rFonts w:eastAsiaTheme="minorHAnsi" w:cstheme="minorBidi"/>
          <w:lang w:val="es-ES"/>
        </w:rPr>
        <w:t>macroeconómico</w:t>
      </w:r>
      <w:r w:rsidRPr="00755E85">
        <w:rPr>
          <w:rFonts w:eastAsiaTheme="minorHAnsi" w:cstheme="minorBidi"/>
          <w:lang w:val="es-ES"/>
        </w:rPr>
        <w:t xml:space="preserve"> provoca un aumento considerable de los precios reales y previstos de la energía. Sobre la base de las predicciones actuales, se prevé que el aumento del precio de la energía dará lugar a gastos adicionales por encima del nivel de inflación en la cantidad de 900 000</w:t>
      </w:r>
      <w:r w:rsidR="00E97300">
        <w:rPr>
          <w:rFonts w:eastAsiaTheme="minorHAnsi" w:cstheme="minorBidi"/>
          <w:lang w:val="es-ES"/>
        </w:rPr>
        <w:t xml:space="preserve"> </w:t>
      </w:r>
      <w:r w:rsidR="00E97300" w:rsidRPr="00755E85">
        <w:rPr>
          <w:rFonts w:eastAsiaTheme="minorHAnsi" w:cstheme="minorBidi"/>
          <w:lang w:val="es-ES"/>
        </w:rPr>
        <w:t>CHF</w:t>
      </w:r>
      <w:r w:rsidRPr="00755E85">
        <w:rPr>
          <w:rFonts w:eastAsiaTheme="minorHAnsi" w:cstheme="minorBidi"/>
          <w:lang w:val="es-ES"/>
        </w:rPr>
        <w:t xml:space="preserve"> durante el </w:t>
      </w:r>
      <w:r w:rsidR="00E97300">
        <w:rPr>
          <w:rFonts w:eastAsiaTheme="minorHAnsi" w:cstheme="minorBidi"/>
          <w:lang w:val="es-ES"/>
        </w:rPr>
        <w:t>ejercicio económico</w:t>
      </w:r>
      <w:r w:rsidRPr="00755E85">
        <w:rPr>
          <w:rFonts w:eastAsiaTheme="minorHAnsi" w:cstheme="minorBidi"/>
          <w:lang w:val="es-ES"/>
        </w:rPr>
        <w:t xml:space="preserve"> 2024-2027.</w:t>
      </w:r>
    </w:p>
    <w:p w14:paraId="3B3E653E" w14:textId="77777777" w:rsidR="00D028ED" w:rsidRPr="003C3066" w:rsidRDefault="00D028ED" w:rsidP="00D028ED">
      <w:pPr>
        <w:tabs>
          <w:tab w:val="clear" w:pos="1134"/>
          <w:tab w:val="left" w:pos="1701"/>
        </w:tabs>
        <w:spacing w:before="360" w:after="240"/>
        <w:rPr>
          <w:rFonts w:eastAsiaTheme="minorHAnsi" w:cstheme="minorBidi"/>
          <w:i/>
          <w:iCs/>
        </w:rPr>
      </w:pPr>
      <w:r w:rsidRPr="003C3066">
        <w:rPr>
          <w:rFonts w:eastAsiaTheme="minorHAnsi" w:cstheme="minorBidi"/>
          <w:i/>
          <w:iCs/>
        </w:rPr>
        <w:t>Perspectiva histórica sobre la inflación</w:t>
      </w:r>
    </w:p>
    <w:p w14:paraId="63BEC720" w14:textId="022E873D"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A partir de 1996, la OMM puso en marcha un crecimiento nominal cero continuado o por debajo de un enfoque presupuestario de crecimiento real cero con respecto a la contribución prorrateadas en un escenario inflacionario bajo. Esta situación contribuyó al desarrollo de medidas de eficiencia de la Secretaría, principalmente en áreas administrativas y de apoyo, con el fin de obtener economías con miras a limitar la erosión general del poder adquisitivo de la organización, garantizando al mismo tiempo el apoyo a nuevos requisitos e iniciativas programáticas. Sin embargo, como se describe en el principal cuerpo del documento, la inflación acumulativa no con cargo a los recursos hídricos tiene un impacto real en la capacidad de la OMM para aplicar su mandato y debe entenderse y comunicarse de manera transparente para permitir la adopción de decisiones apropiadas e informadas.</w:t>
      </w:r>
    </w:p>
    <w:p w14:paraId="28E9FB08" w14:textId="3AAF0058"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lastRenderedPageBreak/>
        <w:t xml:space="preserve">Como resultado del enfoque de crecimiento nominal cero, la pérdida acumulada de poder adquisitivo del presupuesto de la OMM, a pesar de algunos aumentos presupuestarios limitados durante los dos últimos períodos financieros, se estima en el nivel de 32 millones de francos suizos para el decimoctavo </w:t>
      </w:r>
      <w:r w:rsidR="001B56BF">
        <w:rPr>
          <w:rFonts w:eastAsiaTheme="minorHAnsi" w:cstheme="minorBidi"/>
          <w:lang w:val="es-ES"/>
        </w:rPr>
        <w:t>ejercicio económico</w:t>
      </w:r>
      <w:r w:rsidRPr="00755E85">
        <w:rPr>
          <w:rFonts w:eastAsiaTheme="minorHAnsi" w:cstheme="minorBidi"/>
          <w:lang w:val="es-ES"/>
        </w:rPr>
        <w:t xml:space="preserve"> 2020-2023 (gráfico 1) en comparación con el impacto de la inflación en el gasto máximo aprobado para el período financiero 1996-1999 (aprobado en un crecimiento real cero).</w:t>
      </w:r>
    </w:p>
    <w:p w14:paraId="249B87E5" w14:textId="1D51B07B" w:rsidR="00D028ED" w:rsidRPr="00755E85" w:rsidRDefault="00273EEB" w:rsidP="00D028ED">
      <w:pPr>
        <w:tabs>
          <w:tab w:val="clear" w:pos="1134"/>
          <w:tab w:val="left" w:pos="1418"/>
        </w:tabs>
        <w:spacing w:before="360" w:after="360"/>
        <w:jc w:val="center"/>
        <w:rPr>
          <w:rFonts w:eastAsiaTheme="minorEastAsia" w:cstheme="minorHAnsi"/>
          <w:szCs w:val="22"/>
          <w:lang w:val="es-ES" w:eastAsia="zh-CN"/>
        </w:rPr>
      </w:pPr>
      <w:r>
        <w:rPr>
          <w:rFonts w:eastAsiaTheme="minorEastAsia" w:cstheme="minorHAnsi"/>
          <w:b/>
          <w:szCs w:val="22"/>
          <w:lang w:val="es-ES"/>
        </w:rPr>
        <w:t>Gráfico</w:t>
      </w:r>
      <w:r w:rsidR="00D028ED" w:rsidRPr="00755E85">
        <w:rPr>
          <w:rFonts w:eastAsiaTheme="minorEastAsia" w:cstheme="minorHAnsi"/>
          <w:b/>
          <w:szCs w:val="22"/>
          <w:lang w:val="es-ES"/>
        </w:rPr>
        <w:t xml:space="preserve"> 1: Impacto de la inflación en el poder adquisitivo de las contribuciones prorrateadas de la OMM de 1996 a 2023</w:t>
      </w:r>
      <w:r w:rsidR="00D028ED" w:rsidRPr="00755E85">
        <w:rPr>
          <w:rFonts w:eastAsiaTheme="minorEastAsia" w:cstheme="minorHAnsi"/>
          <w:b/>
          <w:szCs w:val="22"/>
          <w:lang w:val="es-ES"/>
        </w:rPr>
        <w:br/>
      </w:r>
      <w:r w:rsidR="00D028ED" w:rsidRPr="00755E85">
        <w:rPr>
          <w:rFonts w:eastAsiaTheme="minorEastAsia" w:cstheme="minorHAnsi"/>
          <w:i/>
          <w:szCs w:val="22"/>
          <w:lang w:val="es-ES"/>
        </w:rPr>
        <w:t xml:space="preserve"> (en millones de francos suizos)</w:t>
      </w:r>
    </w:p>
    <w:tbl>
      <w:tblPr>
        <w:tblStyle w:val="TableGrid"/>
        <w:tblW w:w="5000" w:type="pct"/>
        <w:jc w:val="center"/>
        <w:tblLayout w:type="fixed"/>
        <w:tblLook w:val="04A0" w:firstRow="1" w:lastRow="0" w:firstColumn="1" w:lastColumn="0" w:noHBand="0" w:noVBand="1"/>
      </w:tblPr>
      <w:tblGrid>
        <w:gridCol w:w="9629"/>
      </w:tblGrid>
      <w:tr w:rsidR="00D028ED" w:rsidRPr="003C3066" w14:paraId="40081FE1" w14:textId="77777777" w:rsidTr="00642968">
        <w:trPr>
          <w:jc w:val="center"/>
        </w:trPr>
        <w:tc>
          <w:tcPr>
            <w:tcW w:w="5000" w:type="pct"/>
            <w:vAlign w:val="center"/>
          </w:tcPr>
          <w:p w14:paraId="7DB91283" w14:textId="77777777" w:rsidR="00D028ED" w:rsidRPr="003C3066" w:rsidRDefault="00D028ED" w:rsidP="00D028ED">
            <w:pPr>
              <w:tabs>
                <w:tab w:val="clear" w:pos="1134"/>
              </w:tabs>
              <w:spacing w:after="160" w:line="259" w:lineRule="auto"/>
              <w:contextualSpacing/>
              <w:jc w:val="center"/>
              <w:rPr>
                <w:rFonts w:eastAsiaTheme="minorHAnsi" w:cs="Times New Roman"/>
                <w:sz w:val="22"/>
              </w:rPr>
            </w:pPr>
            <w:r w:rsidRPr="003C3066">
              <w:rPr>
                <w:rFonts w:eastAsiaTheme="minorHAnsi" w:cs="Times New Roman"/>
                <w:noProof/>
                <w:sz w:val="22"/>
              </w:rPr>
              <w:drawing>
                <wp:inline distT="0" distB="0" distL="0" distR="0" wp14:anchorId="43C30116" wp14:editId="2B0D93EB">
                  <wp:extent cx="5363845" cy="2895996"/>
                  <wp:effectExtent l="0" t="0" r="8255" b="0"/>
                  <wp:docPr id="32" name="Picture 32" descr="Mapa, mapa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line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2772" cy="2944009"/>
                          </a:xfrm>
                          <a:prstGeom prst="rect">
                            <a:avLst/>
                          </a:prstGeom>
                          <a:noFill/>
                        </pic:spPr>
                      </pic:pic>
                    </a:graphicData>
                  </a:graphic>
                </wp:inline>
              </w:drawing>
            </w:r>
          </w:p>
        </w:tc>
      </w:tr>
    </w:tbl>
    <w:p w14:paraId="12BBD0FC" w14:textId="77777777" w:rsidR="00D028ED" w:rsidRPr="003C3066" w:rsidRDefault="00D028ED" w:rsidP="00D028ED">
      <w:pPr>
        <w:tabs>
          <w:tab w:val="clear" w:pos="1134"/>
          <w:tab w:val="left" w:pos="1418"/>
        </w:tabs>
        <w:spacing w:after="200"/>
        <w:jc w:val="left"/>
        <w:rPr>
          <w:rFonts w:eastAsia="Verdana" w:cs="Verdana"/>
          <w:b/>
          <w:bCs/>
          <w:caps/>
          <w:kern w:val="32"/>
          <w:sz w:val="24"/>
          <w:szCs w:val="24"/>
          <w:lang w:eastAsia="zh-TW"/>
        </w:rPr>
      </w:pPr>
    </w:p>
    <w:p w14:paraId="4A4D09A5"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eastAsia="zh-CN"/>
        </w:rPr>
      </w:pPr>
      <w:bookmarkStart w:id="8" w:name="_Toc121390460"/>
      <w:r w:rsidRPr="003C3066">
        <w:rPr>
          <w:rFonts w:eastAsiaTheme="majorEastAsia" w:cstheme="majorBidi"/>
          <w:b/>
        </w:rPr>
        <w:t>Costo prorrateado</w:t>
      </w:r>
      <w:bookmarkEnd w:id="8"/>
    </w:p>
    <w:p w14:paraId="0877DE54" w14:textId="77777777"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Tradicionalmente, el mecanismo de asignación de costos administrativos a las partidas de asignación presupuestaria ha permitido mostrar una imagen más realista del costo total de ejecución en cada una de las partidas de asignación presupuestaria. Mediante el proceso de asignación, se asignan y agrupan los costos administrativos incurridos por la organización, incluida la gestión de edificios, los servicios de tecnología de la información y otros costos indirectos, junto con los costos directos de ejecución de cada una de las partidas de asignación presupuestaria que respaldan. Estos costos prorrateados no están directamente planificados por los departamentos técnicos; Más bien, son controlados y presupuestados de forma centralizada.</w:t>
      </w:r>
    </w:p>
    <w:p w14:paraId="7998F8C1" w14:textId="1105E657"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El esfuerzo continuo por introducir economías y medidas de eficiencia en el ámbito administrativo garantiza una tasa de costos indirectos, incluidos los costos administrativos, no superior al 20 % del total de los gastos máximos. Los costos administrativos se han reducido tanto en los escenarios de gastos máximos como en el 19,0 % tanto en la propuesta del Secretario General como en el escenario de crecimiento nominal cero. Esas reducciones se han logrado gracias a las eficiencias y ganancias en las economías durante el decimoctavo </w:t>
      </w:r>
      <w:r w:rsidR="00384326">
        <w:rPr>
          <w:rFonts w:eastAsiaTheme="minorHAnsi" w:cstheme="minorBidi"/>
          <w:lang w:val="es-ES"/>
        </w:rPr>
        <w:t>ejercicio económico</w:t>
      </w:r>
      <w:r w:rsidR="00911B0C">
        <w:rPr>
          <w:rFonts w:eastAsiaTheme="minorHAnsi" w:cstheme="minorBidi"/>
          <w:lang w:val="es-ES"/>
        </w:rPr>
        <w:t xml:space="preserve"> </w:t>
      </w:r>
      <w:r w:rsidRPr="00755E85">
        <w:rPr>
          <w:rFonts w:eastAsiaTheme="minorHAnsi" w:cstheme="minorBidi"/>
          <w:lang w:val="es-ES"/>
        </w:rPr>
        <w:t xml:space="preserve">(2020-2023), que superaron el nivel solicitado por el Congreso, así como a las eficiencias adicionales identificadas en la preparación de las estimaciones máximas de gastos para el decimonoveno </w:t>
      </w:r>
      <w:r w:rsidR="00911B0C">
        <w:rPr>
          <w:rFonts w:eastAsiaTheme="minorHAnsi" w:cstheme="minorBidi"/>
          <w:lang w:val="es-ES"/>
        </w:rPr>
        <w:t>ejercicio económico</w:t>
      </w:r>
      <w:r w:rsidRPr="00755E85">
        <w:rPr>
          <w:rFonts w:eastAsiaTheme="minorHAnsi" w:cstheme="minorBidi"/>
          <w:lang w:val="es-ES"/>
        </w:rPr>
        <w:t xml:space="preserve"> (2024-2027).</w:t>
      </w:r>
    </w:p>
    <w:p w14:paraId="7C8C05D0" w14:textId="77777777"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lastRenderedPageBreak/>
        <w:t>El aumento de los costos prorrateados en la propuesta del Secretario General en comparación con el escenario de crecimiento nominal cero representa el costo adicional necesario para inversiones adicionales clave en la solución moderna del ERP y la Estrategia general de tecnología de la información, como se describe en el párrafo 11.</w:t>
      </w:r>
    </w:p>
    <w:p w14:paraId="22C7E697" w14:textId="67230D05"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En el cuadro 6 se detallan los costos prorrateados.</w:t>
      </w:r>
    </w:p>
    <w:p w14:paraId="334B2700" w14:textId="012BF118" w:rsidR="00D028ED" w:rsidRPr="00755E85" w:rsidRDefault="00D028ED" w:rsidP="00D028ED">
      <w:pPr>
        <w:tabs>
          <w:tab w:val="clear" w:pos="1134"/>
          <w:tab w:val="left" w:pos="1418"/>
        </w:tabs>
        <w:spacing w:after="240"/>
        <w:jc w:val="center"/>
        <w:rPr>
          <w:rFonts w:eastAsiaTheme="minorEastAsia" w:cstheme="minorBidi"/>
          <w:szCs w:val="22"/>
          <w:lang w:val="es-ES" w:eastAsia="zh-CN"/>
        </w:rPr>
      </w:pPr>
      <w:r w:rsidRPr="00755E85">
        <w:rPr>
          <w:rFonts w:eastAsiaTheme="minorEastAsia" w:cstheme="minorBidi"/>
          <w:b/>
          <w:szCs w:val="22"/>
          <w:lang w:val="es-ES"/>
        </w:rPr>
        <w:t>Cuadro 6</w:t>
      </w:r>
      <w:r w:rsidRPr="00755E85">
        <w:rPr>
          <w:rFonts w:eastAsiaTheme="minorEastAsia" w:cstheme="minorBidi"/>
          <w:i/>
          <w:szCs w:val="22"/>
          <w:lang w:val="es-ES"/>
        </w:rPr>
        <w:br/>
      </w:r>
      <w:r w:rsidRPr="00755E85">
        <w:rPr>
          <w:rFonts w:eastAsiaTheme="minorEastAsia" w:cstheme="minorBidi"/>
          <w:b/>
          <w:szCs w:val="22"/>
          <w:lang w:val="es-ES"/>
        </w:rPr>
        <w:t xml:space="preserve"> Gastos prorrateados incluidos en cada escenario máximo de gastos</w:t>
      </w:r>
      <w:r w:rsidRPr="00755E85">
        <w:rPr>
          <w:rFonts w:eastAsiaTheme="minorEastAsia" w:cstheme="minorBidi"/>
          <w:b/>
          <w:szCs w:val="22"/>
          <w:lang w:val="es-ES"/>
        </w:rPr>
        <w:br/>
      </w:r>
      <w:r w:rsidRPr="00755E85">
        <w:rPr>
          <w:rFonts w:eastAsiaTheme="minorEastAsia" w:cstheme="minorBidi"/>
          <w:i/>
          <w:szCs w:val="22"/>
          <w:lang w:val="es-ES"/>
        </w:rPr>
        <w:t xml:space="preserve"> (montos en miles de francos suizos)</w:t>
      </w:r>
    </w:p>
    <w:tbl>
      <w:tblPr>
        <w:tblW w:w="4547" w:type="pct"/>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5003"/>
        <w:gridCol w:w="293"/>
        <w:gridCol w:w="968"/>
        <w:gridCol w:w="1261"/>
        <w:gridCol w:w="1241"/>
      </w:tblGrid>
      <w:tr w:rsidR="00D028ED" w:rsidRPr="003C3066" w14:paraId="624D3466" w14:textId="77777777" w:rsidTr="001F2569">
        <w:trPr>
          <w:trHeight w:val="290"/>
        </w:trPr>
        <w:tc>
          <w:tcPr>
            <w:tcW w:w="2854" w:type="pct"/>
            <w:vMerge w:val="restart"/>
            <w:shd w:val="clear" w:color="auto" w:fill="F2F2F2" w:themeFill="background1" w:themeFillShade="F2"/>
            <w:vAlign w:val="center"/>
            <w:hideMark/>
          </w:tcPr>
          <w:p w14:paraId="301FD1B2" w14:textId="77777777" w:rsidR="00D028ED" w:rsidRPr="003C3066" w:rsidRDefault="00D028ED" w:rsidP="00D028ED">
            <w:pPr>
              <w:tabs>
                <w:tab w:val="clear" w:pos="1134"/>
                <w:tab w:val="left" w:pos="1418"/>
              </w:tabs>
              <w:spacing w:before="100" w:after="100"/>
              <w:ind w:firstLineChars="200" w:firstLine="400"/>
              <w:jc w:val="left"/>
              <w:rPr>
                <w:rFonts w:eastAsia="Times New Roman" w:cs="Calibri"/>
                <w:color w:val="000000"/>
                <w:lang w:eastAsia="zh-CN"/>
              </w:rPr>
            </w:pPr>
            <w:r w:rsidRPr="003C3066">
              <w:rPr>
                <w:rFonts w:eastAsia="Times New Roman" w:cs="Calibri"/>
                <w:color w:val="000000"/>
              </w:rPr>
              <w:t>Costos prorrateados</w:t>
            </w:r>
          </w:p>
        </w:tc>
        <w:tc>
          <w:tcPr>
            <w:tcW w:w="167" w:type="pct"/>
            <w:shd w:val="clear" w:color="auto" w:fill="F2F2F2" w:themeFill="background1" w:themeFillShade="F2"/>
            <w:noWrap/>
            <w:vAlign w:val="bottom"/>
            <w:hideMark/>
          </w:tcPr>
          <w:p w14:paraId="4FBC6185"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c>
          <w:tcPr>
            <w:tcW w:w="1979" w:type="pct"/>
            <w:gridSpan w:val="3"/>
            <w:shd w:val="clear" w:color="auto" w:fill="F2F2F2" w:themeFill="background1" w:themeFillShade="F2"/>
            <w:noWrap/>
            <w:vAlign w:val="center"/>
            <w:hideMark/>
          </w:tcPr>
          <w:p w14:paraId="08F60C94" w14:textId="77777777" w:rsidR="00D028ED" w:rsidRPr="003C3066" w:rsidRDefault="00D028ED" w:rsidP="00D028ED">
            <w:pPr>
              <w:tabs>
                <w:tab w:val="clear" w:pos="1134"/>
                <w:tab w:val="left" w:pos="1418"/>
              </w:tabs>
              <w:spacing w:before="100" w:after="100"/>
              <w:jc w:val="center"/>
              <w:rPr>
                <w:rFonts w:eastAsia="Times New Roman" w:cs="Calibri"/>
                <w:color w:val="000000"/>
              </w:rPr>
            </w:pPr>
            <w:r>
              <w:t>Escenarios</w:t>
            </w:r>
          </w:p>
        </w:tc>
      </w:tr>
      <w:tr w:rsidR="00D028ED" w:rsidRPr="003C3066" w14:paraId="16D85885" w14:textId="77777777" w:rsidTr="001F2569">
        <w:trPr>
          <w:trHeight w:val="300"/>
        </w:trPr>
        <w:tc>
          <w:tcPr>
            <w:tcW w:w="2854" w:type="pct"/>
            <w:vMerge/>
            <w:vAlign w:val="center"/>
            <w:hideMark/>
          </w:tcPr>
          <w:p w14:paraId="46E01475"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p>
        </w:tc>
        <w:tc>
          <w:tcPr>
            <w:tcW w:w="719" w:type="pct"/>
            <w:gridSpan w:val="2"/>
            <w:shd w:val="clear" w:color="auto" w:fill="F2F2F2" w:themeFill="background1" w:themeFillShade="F2"/>
            <w:vAlign w:val="center"/>
            <w:hideMark/>
          </w:tcPr>
          <w:p w14:paraId="1D7D9975" w14:textId="77777777" w:rsidR="00D028ED" w:rsidRPr="003C3066" w:rsidRDefault="00D028ED" w:rsidP="00D028ED">
            <w:pPr>
              <w:tabs>
                <w:tab w:val="clear" w:pos="1134"/>
                <w:tab w:val="left" w:pos="1418"/>
              </w:tabs>
              <w:spacing w:before="100" w:after="100"/>
              <w:jc w:val="center"/>
              <w:rPr>
                <w:rFonts w:eastAsia="Times New Roman" w:cs="Calibri"/>
                <w:color w:val="000000"/>
                <w:lang w:eastAsia="zh-CN"/>
              </w:rPr>
            </w:pPr>
            <w:r w:rsidRPr="003C3066">
              <w:rPr>
                <w:rFonts w:eastAsia="Times New Roman" w:cs="Calibri"/>
                <w:color w:val="000000"/>
              </w:rPr>
              <w:t>Propuesta del Secretario General</w:t>
            </w:r>
          </w:p>
        </w:tc>
        <w:tc>
          <w:tcPr>
            <w:tcW w:w="719" w:type="pct"/>
            <w:shd w:val="clear" w:color="auto" w:fill="F2F2F2" w:themeFill="background1" w:themeFillShade="F2"/>
            <w:noWrap/>
            <w:vAlign w:val="center"/>
            <w:hideMark/>
          </w:tcPr>
          <w:p w14:paraId="7674E5E2" w14:textId="77777777" w:rsidR="00D028ED" w:rsidRPr="003C3066" w:rsidRDefault="00D028ED" w:rsidP="00D028ED">
            <w:pPr>
              <w:tabs>
                <w:tab w:val="clear" w:pos="1134"/>
                <w:tab w:val="left" w:pos="1418"/>
              </w:tabs>
              <w:spacing w:before="100" w:after="100"/>
              <w:jc w:val="center"/>
              <w:rPr>
                <w:rFonts w:eastAsia="Times New Roman" w:cs="Calibri"/>
                <w:color w:val="000000"/>
                <w:lang w:eastAsia="zh-CN"/>
              </w:rPr>
            </w:pPr>
            <w:r w:rsidRPr="003C3066">
              <w:rPr>
                <w:rFonts w:eastAsia="Times New Roman" w:cs="Calibri"/>
                <w:color w:val="000000"/>
              </w:rPr>
              <w:t>Crecimiento nominal nominal (ZNG)</w:t>
            </w:r>
          </w:p>
        </w:tc>
        <w:tc>
          <w:tcPr>
            <w:tcW w:w="707" w:type="pct"/>
            <w:shd w:val="clear" w:color="auto" w:fill="F2F2F2" w:themeFill="background1" w:themeFillShade="F2"/>
            <w:vAlign w:val="center"/>
            <w:hideMark/>
          </w:tcPr>
          <w:p w14:paraId="7DA3FAC5" w14:textId="77777777" w:rsidR="00D028ED" w:rsidRPr="003C3066" w:rsidRDefault="00D028ED" w:rsidP="00D028ED">
            <w:pPr>
              <w:tabs>
                <w:tab w:val="clear" w:pos="1134"/>
                <w:tab w:val="left" w:pos="1418"/>
              </w:tabs>
              <w:spacing w:before="100" w:after="100"/>
              <w:jc w:val="left"/>
              <w:rPr>
                <w:rFonts w:eastAsia="Times New Roman" w:cs="Calibri"/>
                <w:color w:val="000000"/>
              </w:rPr>
            </w:pPr>
            <w:r>
              <w:t>Varianza</w:t>
            </w:r>
          </w:p>
        </w:tc>
      </w:tr>
      <w:tr w:rsidR="00D028ED" w:rsidRPr="003C3066" w14:paraId="6B9F56F7" w14:textId="77777777" w:rsidTr="001F2569">
        <w:trPr>
          <w:trHeight w:val="120"/>
        </w:trPr>
        <w:tc>
          <w:tcPr>
            <w:tcW w:w="2854" w:type="pct"/>
            <w:shd w:val="clear" w:color="000000" w:fill="FFFFFF"/>
            <w:noWrap/>
            <w:vAlign w:val="center"/>
            <w:hideMark/>
          </w:tcPr>
          <w:p w14:paraId="04C8B106" w14:textId="77777777" w:rsidR="00D028ED" w:rsidRPr="003C3066" w:rsidRDefault="00D028ED" w:rsidP="00D028ED">
            <w:pPr>
              <w:tabs>
                <w:tab w:val="clear" w:pos="1134"/>
                <w:tab w:val="left" w:pos="1418"/>
              </w:tabs>
              <w:spacing w:before="100" w:after="100"/>
              <w:jc w:val="left"/>
              <w:rPr>
                <w:rFonts w:eastAsia="Times New Roman" w:cs="Calibri"/>
                <w:b/>
                <w:bCs/>
                <w:color w:val="000000"/>
                <w:lang w:eastAsia="zh-CN"/>
              </w:rPr>
            </w:pPr>
            <w:r w:rsidRPr="003C3066">
              <w:rPr>
                <w:rFonts w:eastAsia="Times New Roman" w:cs="Calibri"/>
                <w:b/>
                <w:color w:val="000000"/>
              </w:rPr>
              <w:t> </w:t>
            </w:r>
          </w:p>
        </w:tc>
        <w:tc>
          <w:tcPr>
            <w:tcW w:w="719" w:type="pct"/>
            <w:gridSpan w:val="2"/>
            <w:shd w:val="clear" w:color="000000" w:fill="FFFFFF"/>
            <w:noWrap/>
            <w:vAlign w:val="center"/>
            <w:hideMark/>
          </w:tcPr>
          <w:p w14:paraId="223BEA54" w14:textId="77777777" w:rsidR="00D028ED" w:rsidRPr="003C3066" w:rsidRDefault="00D028ED" w:rsidP="00D028ED">
            <w:pPr>
              <w:tabs>
                <w:tab w:val="clear" w:pos="1134"/>
                <w:tab w:val="left" w:pos="1418"/>
              </w:tabs>
              <w:spacing w:before="100" w:after="100"/>
              <w:jc w:val="right"/>
              <w:rPr>
                <w:rFonts w:eastAsia="Times New Roman" w:cs="Calibri"/>
                <w:b/>
                <w:bCs/>
                <w:color w:val="000000"/>
                <w:lang w:eastAsia="zh-CN"/>
              </w:rPr>
            </w:pPr>
            <w:r w:rsidRPr="003C3066">
              <w:rPr>
                <w:rFonts w:eastAsia="Times New Roman" w:cs="Calibri"/>
                <w:b/>
                <w:color w:val="000000"/>
              </w:rPr>
              <w:t> </w:t>
            </w:r>
          </w:p>
        </w:tc>
        <w:tc>
          <w:tcPr>
            <w:tcW w:w="719" w:type="pct"/>
            <w:shd w:val="clear" w:color="000000" w:fill="FFFFFF"/>
            <w:noWrap/>
            <w:vAlign w:val="bottom"/>
            <w:hideMark/>
          </w:tcPr>
          <w:p w14:paraId="6F99665D"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c>
          <w:tcPr>
            <w:tcW w:w="707" w:type="pct"/>
            <w:shd w:val="clear" w:color="000000" w:fill="FFFFFF"/>
            <w:noWrap/>
            <w:vAlign w:val="bottom"/>
            <w:hideMark/>
          </w:tcPr>
          <w:p w14:paraId="6AF8F36C"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r>
      <w:tr w:rsidR="00D028ED" w:rsidRPr="003C3066" w14:paraId="4D3E3D8F" w14:textId="77777777" w:rsidTr="001F2569">
        <w:trPr>
          <w:trHeight w:val="290"/>
        </w:trPr>
        <w:tc>
          <w:tcPr>
            <w:tcW w:w="2854" w:type="pct"/>
            <w:shd w:val="clear" w:color="000000" w:fill="FFFFFF"/>
            <w:noWrap/>
            <w:vAlign w:val="center"/>
            <w:hideMark/>
          </w:tcPr>
          <w:p w14:paraId="5AD82EC0" w14:textId="77777777" w:rsidR="00D028ED" w:rsidRPr="003C3066" w:rsidRDefault="00D028ED" w:rsidP="00D028ED">
            <w:pPr>
              <w:tabs>
                <w:tab w:val="clear" w:pos="1134"/>
                <w:tab w:val="left" w:pos="1418"/>
              </w:tabs>
              <w:spacing w:before="100" w:after="100"/>
              <w:ind w:firstLineChars="200" w:firstLine="400"/>
              <w:jc w:val="left"/>
              <w:rPr>
                <w:rFonts w:eastAsia="Times New Roman" w:cs="Calibri"/>
                <w:color w:val="222B35"/>
                <w:lang w:eastAsia="zh-CN"/>
              </w:rPr>
            </w:pPr>
            <w:r w:rsidRPr="003C3066">
              <w:rPr>
                <w:rFonts w:eastAsia="Times New Roman" w:cs="Calibri"/>
                <w:color w:val="222B35"/>
              </w:rPr>
              <w:t>Costos jurídicos y administrativos</w:t>
            </w:r>
          </w:p>
        </w:tc>
        <w:tc>
          <w:tcPr>
            <w:tcW w:w="719" w:type="pct"/>
            <w:gridSpan w:val="2"/>
            <w:shd w:val="clear" w:color="000000" w:fill="FFFFFF"/>
            <w:noWrap/>
            <w:vAlign w:val="center"/>
            <w:hideMark/>
          </w:tcPr>
          <w:p w14:paraId="328660AE" w14:textId="4A5576B0" w:rsidR="00D028ED" w:rsidRPr="003C3066" w:rsidRDefault="00D028ED" w:rsidP="00D028ED">
            <w:pPr>
              <w:tabs>
                <w:tab w:val="clear" w:pos="1134"/>
                <w:tab w:val="left" w:pos="1418"/>
              </w:tabs>
              <w:spacing w:before="100" w:after="100"/>
              <w:jc w:val="right"/>
              <w:rPr>
                <w:rFonts w:eastAsia="Times New Roman" w:cs="Calibri"/>
                <w:color w:val="000000"/>
              </w:rPr>
            </w:pPr>
            <w:r>
              <w:t>21</w:t>
            </w:r>
            <w:r w:rsidR="008A1909">
              <w:t xml:space="preserve"> </w:t>
            </w:r>
            <w:r>
              <w:t xml:space="preserve">512,6 </w:t>
            </w:r>
          </w:p>
        </w:tc>
        <w:tc>
          <w:tcPr>
            <w:tcW w:w="719" w:type="pct"/>
            <w:shd w:val="clear" w:color="000000" w:fill="FFFFFF"/>
            <w:noWrap/>
            <w:vAlign w:val="center"/>
            <w:hideMark/>
          </w:tcPr>
          <w:p w14:paraId="6837C063" w14:textId="4C374686" w:rsidR="00D028ED" w:rsidRPr="003C3066" w:rsidRDefault="00D028ED" w:rsidP="00D028ED">
            <w:pPr>
              <w:tabs>
                <w:tab w:val="clear" w:pos="1134"/>
                <w:tab w:val="left" w:pos="1418"/>
              </w:tabs>
              <w:spacing w:before="100" w:after="100"/>
              <w:jc w:val="right"/>
              <w:rPr>
                <w:rFonts w:eastAsia="Times New Roman" w:cs="Calibri"/>
                <w:color w:val="000000"/>
              </w:rPr>
            </w:pPr>
            <w:r>
              <w:t>21</w:t>
            </w:r>
            <w:r w:rsidR="008A1909">
              <w:t xml:space="preserve"> </w:t>
            </w:r>
            <w:r>
              <w:t xml:space="preserve">512,6 </w:t>
            </w:r>
          </w:p>
        </w:tc>
        <w:tc>
          <w:tcPr>
            <w:tcW w:w="707" w:type="pct"/>
            <w:shd w:val="clear" w:color="000000" w:fill="FFFFFF"/>
            <w:noWrap/>
            <w:vAlign w:val="center"/>
            <w:hideMark/>
          </w:tcPr>
          <w:p w14:paraId="3DDC7340" w14:textId="77777777" w:rsidR="00D028ED" w:rsidRPr="003C3066" w:rsidRDefault="00D028ED" w:rsidP="00D028ED">
            <w:pPr>
              <w:tabs>
                <w:tab w:val="clear" w:pos="1134"/>
                <w:tab w:val="left" w:pos="1418"/>
              </w:tabs>
              <w:spacing w:before="100" w:after="100"/>
              <w:jc w:val="right"/>
              <w:rPr>
                <w:rFonts w:eastAsia="Times New Roman" w:cs="Calibri"/>
                <w:color w:val="000000"/>
                <w:lang w:eastAsia="zh-CN"/>
              </w:rPr>
            </w:pPr>
            <w:r w:rsidRPr="003C3066">
              <w:rPr>
                <w:rFonts w:eastAsia="Times New Roman" w:cs="Calibri"/>
                <w:color w:val="000000"/>
              </w:rPr>
              <w:t>-</w:t>
            </w:r>
          </w:p>
        </w:tc>
      </w:tr>
      <w:tr w:rsidR="00D028ED" w:rsidRPr="003C3066" w14:paraId="2CF1DA78" w14:textId="77777777" w:rsidTr="001F2569">
        <w:trPr>
          <w:trHeight w:val="290"/>
        </w:trPr>
        <w:tc>
          <w:tcPr>
            <w:tcW w:w="2854" w:type="pct"/>
            <w:shd w:val="clear" w:color="000000" w:fill="FFFFFF"/>
            <w:noWrap/>
            <w:vAlign w:val="center"/>
            <w:hideMark/>
          </w:tcPr>
          <w:p w14:paraId="67CC7296" w14:textId="77777777" w:rsidR="00D028ED" w:rsidRPr="00755E85" w:rsidRDefault="00D028ED" w:rsidP="00D028ED">
            <w:pPr>
              <w:tabs>
                <w:tab w:val="clear" w:pos="1134"/>
                <w:tab w:val="left" w:pos="1418"/>
              </w:tabs>
              <w:spacing w:before="100" w:after="100"/>
              <w:ind w:firstLineChars="200" w:firstLine="400"/>
              <w:jc w:val="left"/>
              <w:rPr>
                <w:rFonts w:eastAsia="Times New Roman" w:cs="Calibri"/>
                <w:color w:val="222B35"/>
                <w:lang w:val="es-ES" w:eastAsia="zh-CN"/>
              </w:rPr>
            </w:pPr>
            <w:r w:rsidRPr="00755E85">
              <w:rPr>
                <w:rFonts w:eastAsia="Times New Roman" w:cs="Calibri"/>
                <w:color w:val="222B35"/>
                <w:lang w:val="es-ES"/>
              </w:rPr>
              <w:t>Costos de funcionamiento y gestión de la tecnología de la información</w:t>
            </w:r>
          </w:p>
        </w:tc>
        <w:tc>
          <w:tcPr>
            <w:tcW w:w="719" w:type="pct"/>
            <w:gridSpan w:val="2"/>
            <w:shd w:val="clear" w:color="000000" w:fill="FFFFFF"/>
            <w:noWrap/>
            <w:vAlign w:val="center"/>
            <w:hideMark/>
          </w:tcPr>
          <w:p w14:paraId="2954C3F4" w14:textId="37B060D0" w:rsidR="00D028ED" w:rsidRPr="003C3066" w:rsidRDefault="00D028ED" w:rsidP="00D028ED">
            <w:pPr>
              <w:tabs>
                <w:tab w:val="clear" w:pos="1134"/>
                <w:tab w:val="left" w:pos="1418"/>
              </w:tabs>
              <w:spacing w:before="100" w:after="100"/>
              <w:jc w:val="right"/>
              <w:rPr>
                <w:rFonts w:eastAsia="Times New Roman" w:cs="Calibri"/>
                <w:color w:val="000000"/>
              </w:rPr>
            </w:pPr>
            <w:r>
              <w:t>16</w:t>
            </w:r>
            <w:r w:rsidR="008A1909">
              <w:t xml:space="preserve"> </w:t>
            </w:r>
            <w:r>
              <w:t xml:space="preserve">564,8 </w:t>
            </w:r>
          </w:p>
        </w:tc>
        <w:tc>
          <w:tcPr>
            <w:tcW w:w="719" w:type="pct"/>
            <w:shd w:val="clear" w:color="000000" w:fill="FFFFFF"/>
            <w:noWrap/>
            <w:vAlign w:val="center"/>
            <w:hideMark/>
          </w:tcPr>
          <w:p w14:paraId="33EE2ADA" w14:textId="0F17616D" w:rsidR="00D028ED" w:rsidRPr="003C3066" w:rsidRDefault="00D028ED" w:rsidP="00D028ED">
            <w:pPr>
              <w:tabs>
                <w:tab w:val="clear" w:pos="1134"/>
                <w:tab w:val="left" w:pos="1418"/>
              </w:tabs>
              <w:spacing w:before="100" w:after="100"/>
              <w:jc w:val="right"/>
              <w:rPr>
                <w:rFonts w:eastAsia="Times New Roman" w:cs="Calibri"/>
                <w:color w:val="000000"/>
              </w:rPr>
            </w:pPr>
            <w:r>
              <w:t>12</w:t>
            </w:r>
            <w:r w:rsidR="008A1909">
              <w:t xml:space="preserve"> </w:t>
            </w:r>
            <w:r>
              <w:t xml:space="preserve">984,8 </w:t>
            </w:r>
          </w:p>
        </w:tc>
        <w:tc>
          <w:tcPr>
            <w:tcW w:w="707" w:type="pct"/>
            <w:shd w:val="clear" w:color="000000" w:fill="FFFFFF"/>
            <w:noWrap/>
            <w:vAlign w:val="center"/>
            <w:hideMark/>
          </w:tcPr>
          <w:p w14:paraId="52EEC469" w14:textId="40AA8466" w:rsidR="00D028ED" w:rsidRPr="003C3066" w:rsidRDefault="00D028ED" w:rsidP="00D028ED">
            <w:pPr>
              <w:tabs>
                <w:tab w:val="clear" w:pos="1134"/>
                <w:tab w:val="left" w:pos="1418"/>
              </w:tabs>
              <w:spacing w:before="100" w:after="100"/>
              <w:jc w:val="right"/>
              <w:rPr>
                <w:rFonts w:eastAsia="Times New Roman" w:cs="Calibri"/>
                <w:color w:val="000000"/>
              </w:rPr>
            </w:pPr>
            <w:r>
              <w:t>3</w:t>
            </w:r>
            <w:r w:rsidR="008A1909">
              <w:t xml:space="preserve"> </w:t>
            </w:r>
            <w:r>
              <w:t xml:space="preserve">580,0 </w:t>
            </w:r>
          </w:p>
        </w:tc>
      </w:tr>
      <w:tr w:rsidR="00D028ED" w:rsidRPr="003C3066" w14:paraId="06B282B9" w14:textId="77777777" w:rsidTr="001F2569">
        <w:trPr>
          <w:trHeight w:val="290"/>
        </w:trPr>
        <w:tc>
          <w:tcPr>
            <w:tcW w:w="2854" w:type="pct"/>
            <w:shd w:val="clear" w:color="000000" w:fill="FFFFFF"/>
            <w:noWrap/>
            <w:vAlign w:val="center"/>
            <w:hideMark/>
          </w:tcPr>
          <w:p w14:paraId="5556FDC4" w14:textId="77777777" w:rsidR="00D028ED" w:rsidRPr="00755E85" w:rsidRDefault="00D028ED" w:rsidP="00D028ED">
            <w:pPr>
              <w:tabs>
                <w:tab w:val="clear" w:pos="1134"/>
                <w:tab w:val="left" w:pos="1418"/>
              </w:tabs>
              <w:spacing w:before="100" w:after="100"/>
              <w:ind w:firstLineChars="200" w:firstLine="400"/>
              <w:jc w:val="left"/>
              <w:rPr>
                <w:rFonts w:eastAsia="Times New Roman" w:cs="Calibri"/>
                <w:color w:val="222B35"/>
                <w:lang w:val="es-ES" w:eastAsia="zh-CN"/>
              </w:rPr>
            </w:pPr>
            <w:r w:rsidRPr="00755E85">
              <w:rPr>
                <w:rFonts w:eastAsia="Times New Roman" w:cs="Calibri"/>
                <w:color w:val="222B35"/>
                <w:lang w:val="es-ES"/>
              </w:rPr>
              <w:t>Costos de funcionamiento y gestión del edificio</w:t>
            </w:r>
          </w:p>
        </w:tc>
        <w:tc>
          <w:tcPr>
            <w:tcW w:w="719" w:type="pct"/>
            <w:gridSpan w:val="2"/>
            <w:shd w:val="clear" w:color="000000" w:fill="FFFFFF"/>
            <w:noWrap/>
            <w:vAlign w:val="center"/>
            <w:hideMark/>
          </w:tcPr>
          <w:p w14:paraId="05522FAF" w14:textId="481C519A" w:rsidR="00D028ED" w:rsidRPr="003C3066" w:rsidRDefault="00D028ED" w:rsidP="00D028ED">
            <w:pPr>
              <w:tabs>
                <w:tab w:val="clear" w:pos="1134"/>
                <w:tab w:val="left" w:pos="1418"/>
              </w:tabs>
              <w:spacing w:before="100" w:after="100"/>
              <w:jc w:val="right"/>
              <w:rPr>
                <w:rFonts w:eastAsia="Times New Roman" w:cs="Calibri"/>
                <w:color w:val="000000"/>
              </w:rPr>
            </w:pPr>
            <w:r>
              <w:t>11</w:t>
            </w:r>
            <w:r w:rsidR="008A1909">
              <w:t xml:space="preserve"> </w:t>
            </w:r>
            <w:r>
              <w:t xml:space="preserve">166,6 </w:t>
            </w:r>
          </w:p>
        </w:tc>
        <w:tc>
          <w:tcPr>
            <w:tcW w:w="719" w:type="pct"/>
            <w:shd w:val="clear" w:color="000000" w:fill="FFFFFF"/>
            <w:noWrap/>
            <w:vAlign w:val="center"/>
            <w:hideMark/>
          </w:tcPr>
          <w:p w14:paraId="3CFBFA22" w14:textId="433A8E00" w:rsidR="00D028ED" w:rsidRPr="003C3066" w:rsidRDefault="00D028ED" w:rsidP="00D028ED">
            <w:pPr>
              <w:tabs>
                <w:tab w:val="clear" w:pos="1134"/>
                <w:tab w:val="left" w:pos="1418"/>
              </w:tabs>
              <w:spacing w:before="100" w:after="100"/>
              <w:jc w:val="right"/>
              <w:rPr>
                <w:rFonts w:eastAsia="Times New Roman" w:cs="Calibri"/>
                <w:color w:val="000000"/>
              </w:rPr>
            </w:pPr>
            <w:r>
              <w:t>11</w:t>
            </w:r>
            <w:r w:rsidR="008A1909">
              <w:t xml:space="preserve"> </w:t>
            </w:r>
            <w:r>
              <w:t xml:space="preserve">166,6 </w:t>
            </w:r>
          </w:p>
        </w:tc>
        <w:tc>
          <w:tcPr>
            <w:tcW w:w="707" w:type="pct"/>
            <w:shd w:val="clear" w:color="000000" w:fill="FFFFFF"/>
            <w:noWrap/>
            <w:vAlign w:val="center"/>
            <w:hideMark/>
          </w:tcPr>
          <w:p w14:paraId="29B7AE9D" w14:textId="77777777" w:rsidR="00D028ED" w:rsidRPr="003C3066" w:rsidRDefault="00D028ED" w:rsidP="00D028ED">
            <w:pPr>
              <w:tabs>
                <w:tab w:val="clear" w:pos="1134"/>
                <w:tab w:val="left" w:pos="1418"/>
              </w:tabs>
              <w:spacing w:before="100" w:after="100"/>
              <w:jc w:val="right"/>
              <w:rPr>
                <w:rFonts w:eastAsia="Times New Roman" w:cs="Calibri"/>
                <w:color w:val="000000"/>
                <w:lang w:eastAsia="zh-CN"/>
              </w:rPr>
            </w:pPr>
            <w:r w:rsidRPr="003C3066">
              <w:rPr>
                <w:rFonts w:eastAsia="Times New Roman" w:cs="Calibri"/>
                <w:color w:val="000000"/>
              </w:rPr>
              <w:t>-</w:t>
            </w:r>
          </w:p>
        </w:tc>
      </w:tr>
      <w:tr w:rsidR="00D028ED" w:rsidRPr="003C3066" w14:paraId="1049EB8E" w14:textId="77777777" w:rsidTr="001F2569">
        <w:trPr>
          <w:trHeight w:val="290"/>
        </w:trPr>
        <w:tc>
          <w:tcPr>
            <w:tcW w:w="2854" w:type="pct"/>
            <w:shd w:val="clear" w:color="000000" w:fill="FFFFFF"/>
            <w:noWrap/>
            <w:vAlign w:val="center"/>
            <w:hideMark/>
          </w:tcPr>
          <w:p w14:paraId="094DA3D7" w14:textId="77777777" w:rsidR="00D028ED" w:rsidRPr="00755E85" w:rsidRDefault="00D028ED" w:rsidP="00D028ED">
            <w:pPr>
              <w:tabs>
                <w:tab w:val="clear" w:pos="1134"/>
                <w:tab w:val="left" w:pos="1418"/>
              </w:tabs>
              <w:spacing w:before="100" w:after="100"/>
              <w:ind w:firstLineChars="200" w:firstLine="400"/>
              <w:jc w:val="left"/>
              <w:rPr>
                <w:rFonts w:eastAsia="Times New Roman" w:cs="Calibri"/>
                <w:color w:val="222B35"/>
                <w:lang w:val="es-ES" w:eastAsia="zh-CN"/>
              </w:rPr>
            </w:pPr>
            <w:r w:rsidRPr="00755E85">
              <w:rPr>
                <w:rFonts w:eastAsia="Times New Roman" w:cs="Calibri"/>
                <w:color w:val="222B35"/>
                <w:lang w:val="es-ES"/>
              </w:rPr>
              <w:t>Reembolso del préstamo para el edificio</w:t>
            </w:r>
          </w:p>
        </w:tc>
        <w:tc>
          <w:tcPr>
            <w:tcW w:w="719" w:type="pct"/>
            <w:gridSpan w:val="2"/>
            <w:shd w:val="clear" w:color="000000" w:fill="FFFFFF"/>
            <w:noWrap/>
            <w:vAlign w:val="center"/>
            <w:hideMark/>
          </w:tcPr>
          <w:p w14:paraId="02931E2A" w14:textId="2ADF6502" w:rsidR="00D028ED" w:rsidRPr="003C3066" w:rsidRDefault="00D028ED" w:rsidP="00D028ED">
            <w:pPr>
              <w:tabs>
                <w:tab w:val="clear" w:pos="1134"/>
                <w:tab w:val="left" w:pos="1418"/>
              </w:tabs>
              <w:spacing w:before="100" w:after="100"/>
              <w:jc w:val="right"/>
              <w:rPr>
                <w:rFonts w:eastAsia="Times New Roman" w:cs="Calibri"/>
                <w:color w:val="000000"/>
              </w:rPr>
            </w:pPr>
            <w:r>
              <w:t>5</w:t>
            </w:r>
            <w:r w:rsidR="00827A70">
              <w:t xml:space="preserve"> </w:t>
            </w:r>
            <w:r>
              <w:t xml:space="preserve">909,2 </w:t>
            </w:r>
          </w:p>
        </w:tc>
        <w:tc>
          <w:tcPr>
            <w:tcW w:w="719" w:type="pct"/>
            <w:shd w:val="clear" w:color="000000" w:fill="FFFFFF"/>
            <w:noWrap/>
            <w:vAlign w:val="center"/>
            <w:hideMark/>
          </w:tcPr>
          <w:p w14:paraId="60F8E76E" w14:textId="50C7726A" w:rsidR="00D028ED" w:rsidRPr="003C3066" w:rsidRDefault="00D028ED" w:rsidP="00D028ED">
            <w:pPr>
              <w:tabs>
                <w:tab w:val="clear" w:pos="1134"/>
                <w:tab w:val="left" w:pos="1418"/>
              </w:tabs>
              <w:spacing w:before="100" w:after="100"/>
              <w:jc w:val="right"/>
              <w:rPr>
                <w:rFonts w:eastAsia="Times New Roman" w:cs="Calibri"/>
                <w:color w:val="000000"/>
              </w:rPr>
            </w:pPr>
            <w:r>
              <w:t>5</w:t>
            </w:r>
            <w:r w:rsidR="00827A70">
              <w:t xml:space="preserve"> </w:t>
            </w:r>
            <w:r>
              <w:t xml:space="preserve">909,2 </w:t>
            </w:r>
          </w:p>
        </w:tc>
        <w:tc>
          <w:tcPr>
            <w:tcW w:w="707" w:type="pct"/>
            <w:shd w:val="clear" w:color="000000" w:fill="FFFFFF"/>
            <w:noWrap/>
            <w:vAlign w:val="center"/>
            <w:hideMark/>
          </w:tcPr>
          <w:p w14:paraId="47D34D51" w14:textId="77777777" w:rsidR="00D028ED" w:rsidRPr="003C3066" w:rsidRDefault="00D028ED" w:rsidP="00D028ED">
            <w:pPr>
              <w:tabs>
                <w:tab w:val="clear" w:pos="1134"/>
                <w:tab w:val="left" w:pos="1418"/>
              </w:tabs>
              <w:spacing w:before="100" w:after="100"/>
              <w:jc w:val="right"/>
              <w:rPr>
                <w:rFonts w:eastAsia="Times New Roman" w:cs="Calibri"/>
                <w:color w:val="000000"/>
                <w:lang w:eastAsia="zh-CN"/>
              </w:rPr>
            </w:pPr>
            <w:r w:rsidRPr="003C3066">
              <w:rPr>
                <w:rFonts w:eastAsia="Times New Roman" w:cs="Calibri"/>
                <w:color w:val="000000"/>
              </w:rPr>
              <w:t>-</w:t>
            </w:r>
          </w:p>
        </w:tc>
      </w:tr>
      <w:tr w:rsidR="00D028ED" w:rsidRPr="003C3066" w14:paraId="5454561E" w14:textId="77777777" w:rsidTr="001F2569">
        <w:trPr>
          <w:trHeight w:val="165"/>
        </w:trPr>
        <w:tc>
          <w:tcPr>
            <w:tcW w:w="2854" w:type="pct"/>
            <w:tcBorders>
              <w:bottom w:val="single" w:sz="4" w:space="0" w:color="auto"/>
            </w:tcBorders>
            <w:shd w:val="clear" w:color="000000" w:fill="FFFFFF"/>
            <w:noWrap/>
            <w:vAlign w:val="center"/>
            <w:hideMark/>
          </w:tcPr>
          <w:p w14:paraId="7EDE52DD" w14:textId="77777777" w:rsidR="00D028ED" w:rsidRPr="003C3066" w:rsidRDefault="00D028ED" w:rsidP="00D028ED">
            <w:pPr>
              <w:tabs>
                <w:tab w:val="clear" w:pos="1134"/>
                <w:tab w:val="left" w:pos="1418"/>
              </w:tabs>
              <w:spacing w:before="100" w:after="100"/>
              <w:ind w:firstLineChars="200" w:firstLine="400"/>
              <w:jc w:val="left"/>
              <w:rPr>
                <w:rFonts w:eastAsia="Times New Roman" w:cs="Calibri"/>
                <w:color w:val="222B35"/>
                <w:lang w:eastAsia="zh-CN"/>
              </w:rPr>
            </w:pPr>
            <w:r w:rsidRPr="003C3066">
              <w:rPr>
                <w:rFonts w:eastAsia="Times New Roman" w:cs="Calibri"/>
                <w:color w:val="222B35"/>
              </w:rPr>
              <w:t> </w:t>
            </w:r>
          </w:p>
        </w:tc>
        <w:tc>
          <w:tcPr>
            <w:tcW w:w="719" w:type="pct"/>
            <w:gridSpan w:val="2"/>
            <w:tcBorders>
              <w:bottom w:val="single" w:sz="4" w:space="0" w:color="auto"/>
            </w:tcBorders>
            <w:shd w:val="clear" w:color="000000" w:fill="FFFFFF"/>
            <w:noWrap/>
            <w:vAlign w:val="center"/>
            <w:hideMark/>
          </w:tcPr>
          <w:p w14:paraId="321DF5E7" w14:textId="77777777" w:rsidR="00D028ED" w:rsidRPr="003C3066" w:rsidRDefault="00D028ED" w:rsidP="00D028ED">
            <w:pPr>
              <w:tabs>
                <w:tab w:val="clear" w:pos="1134"/>
                <w:tab w:val="left" w:pos="1418"/>
              </w:tabs>
              <w:spacing w:before="100" w:after="100"/>
              <w:jc w:val="center"/>
              <w:rPr>
                <w:rFonts w:eastAsia="Times New Roman" w:cs="Calibri"/>
                <w:color w:val="000000"/>
                <w:lang w:eastAsia="zh-CN"/>
              </w:rPr>
            </w:pPr>
            <w:r w:rsidRPr="003C3066">
              <w:rPr>
                <w:rFonts w:eastAsia="Times New Roman" w:cs="Calibri"/>
                <w:color w:val="000000"/>
              </w:rPr>
              <w:t> </w:t>
            </w:r>
          </w:p>
        </w:tc>
        <w:tc>
          <w:tcPr>
            <w:tcW w:w="719" w:type="pct"/>
            <w:tcBorders>
              <w:bottom w:val="single" w:sz="4" w:space="0" w:color="auto"/>
            </w:tcBorders>
            <w:shd w:val="clear" w:color="000000" w:fill="FFFFFF"/>
            <w:noWrap/>
            <w:vAlign w:val="bottom"/>
            <w:hideMark/>
          </w:tcPr>
          <w:p w14:paraId="426F5E15"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c>
          <w:tcPr>
            <w:tcW w:w="707" w:type="pct"/>
            <w:tcBorders>
              <w:bottom w:val="single" w:sz="4" w:space="0" w:color="auto"/>
            </w:tcBorders>
            <w:shd w:val="clear" w:color="000000" w:fill="FFFFFF"/>
            <w:noWrap/>
            <w:vAlign w:val="bottom"/>
            <w:hideMark/>
          </w:tcPr>
          <w:p w14:paraId="45792A30" w14:textId="77777777" w:rsidR="00D028ED" w:rsidRPr="003C3066" w:rsidRDefault="00D028ED" w:rsidP="00D028ED">
            <w:pPr>
              <w:tabs>
                <w:tab w:val="clear" w:pos="1134"/>
                <w:tab w:val="left" w:pos="1418"/>
              </w:tabs>
              <w:spacing w:before="100" w:after="100"/>
              <w:jc w:val="left"/>
              <w:rPr>
                <w:rFonts w:eastAsia="Times New Roman" w:cs="Calibri"/>
                <w:color w:val="000000"/>
                <w:lang w:eastAsia="zh-CN"/>
              </w:rPr>
            </w:pPr>
            <w:r w:rsidRPr="003C3066">
              <w:rPr>
                <w:rFonts w:eastAsia="Times New Roman" w:cs="Calibri"/>
                <w:color w:val="000000"/>
              </w:rPr>
              <w:t> </w:t>
            </w:r>
          </w:p>
        </w:tc>
      </w:tr>
      <w:tr w:rsidR="00D028ED" w:rsidRPr="003C3066" w14:paraId="448C7AB2" w14:textId="77777777" w:rsidTr="001F2569">
        <w:trPr>
          <w:trHeight w:val="290"/>
        </w:trPr>
        <w:tc>
          <w:tcPr>
            <w:tcW w:w="2854" w:type="pct"/>
            <w:tcBorders>
              <w:top w:val="single" w:sz="4" w:space="0" w:color="auto"/>
              <w:bottom w:val="single" w:sz="4" w:space="0" w:color="auto"/>
            </w:tcBorders>
            <w:shd w:val="clear" w:color="000000" w:fill="FFFFFF"/>
            <w:noWrap/>
            <w:vAlign w:val="center"/>
            <w:hideMark/>
          </w:tcPr>
          <w:p w14:paraId="42789F34" w14:textId="77777777" w:rsidR="00D028ED" w:rsidRPr="003C3066" w:rsidRDefault="00D028ED" w:rsidP="00D028ED">
            <w:pPr>
              <w:tabs>
                <w:tab w:val="clear" w:pos="1134"/>
                <w:tab w:val="left" w:pos="1418"/>
              </w:tabs>
              <w:spacing w:before="100" w:after="100"/>
              <w:ind w:firstLineChars="200" w:firstLine="402"/>
              <w:jc w:val="left"/>
              <w:rPr>
                <w:rFonts w:eastAsia="Times New Roman" w:cs="Calibri"/>
                <w:b/>
                <w:bCs/>
                <w:color w:val="000000"/>
              </w:rPr>
            </w:pPr>
            <w:r>
              <w:rPr>
                <w:b/>
              </w:rPr>
              <w:t>TOTAL</w:t>
            </w:r>
          </w:p>
        </w:tc>
        <w:tc>
          <w:tcPr>
            <w:tcW w:w="719" w:type="pct"/>
            <w:gridSpan w:val="2"/>
            <w:tcBorders>
              <w:top w:val="single" w:sz="4" w:space="0" w:color="auto"/>
              <w:bottom w:val="single" w:sz="4" w:space="0" w:color="auto"/>
            </w:tcBorders>
            <w:shd w:val="clear" w:color="000000" w:fill="FFFFFF"/>
            <w:noWrap/>
            <w:vAlign w:val="center"/>
            <w:hideMark/>
          </w:tcPr>
          <w:p w14:paraId="288073B8" w14:textId="70D365E9" w:rsidR="00D028ED" w:rsidRPr="003C3066" w:rsidRDefault="00D028ED" w:rsidP="00D028ED">
            <w:pPr>
              <w:tabs>
                <w:tab w:val="clear" w:pos="1134"/>
                <w:tab w:val="left" w:pos="1418"/>
              </w:tabs>
              <w:spacing w:before="100" w:after="100"/>
              <w:jc w:val="right"/>
              <w:rPr>
                <w:rFonts w:eastAsia="Times New Roman" w:cs="Calibri"/>
                <w:b/>
                <w:bCs/>
                <w:color w:val="000000"/>
              </w:rPr>
            </w:pPr>
            <w:r>
              <w:rPr>
                <w:b/>
              </w:rPr>
              <w:t>55</w:t>
            </w:r>
            <w:r w:rsidR="00827A70">
              <w:rPr>
                <w:b/>
              </w:rPr>
              <w:t xml:space="preserve"> </w:t>
            </w:r>
            <w:r>
              <w:rPr>
                <w:b/>
              </w:rPr>
              <w:t xml:space="preserve">153,2 </w:t>
            </w:r>
          </w:p>
        </w:tc>
        <w:tc>
          <w:tcPr>
            <w:tcW w:w="719" w:type="pct"/>
            <w:tcBorders>
              <w:top w:val="single" w:sz="4" w:space="0" w:color="auto"/>
              <w:bottom w:val="single" w:sz="4" w:space="0" w:color="auto"/>
            </w:tcBorders>
            <w:shd w:val="clear" w:color="000000" w:fill="FFFFFF"/>
            <w:noWrap/>
            <w:vAlign w:val="center"/>
            <w:hideMark/>
          </w:tcPr>
          <w:p w14:paraId="62E42DE9" w14:textId="1644FA8D" w:rsidR="00D028ED" w:rsidRPr="003C3066" w:rsidRDefault="00D028ED" w:rsidP="00D028ED">
            <w:pPr>
              <w:tabs>
                <w:tab w:val="clear" w:pos="1134"/>
                <w:tab w:val="left" w:pos="1418"/>
              </w:tabs>
              <w:spacing w:before="100" w:after="100"/>
              <w:jc w:val="right"/>
              <w:rPr>
                <w:rFonts w:eastAsia="Times New Roman" w:cs="Calibri"/>
                <w:b/>
                <w:bCs/>
                <w:color w:val="000000"/>
              </w:rPr>
            </w:pPr>
            <w:r>
              <w:rPr>
                <w:b/>
              </w:rPr>
              <w:t>51</w:t>
            </w:r>
            <w:r w:rsidR="00827A70">
              <w:rPr>
                <w:b/>
              </w:rPr>
              <w:t xml:space="preserve"> </w:t>
            </w:r>
            <w:r>
              <w:rPr>
                <w:b/>
              </w:rPr>
              <w:t xml:space="preserve">573,2 </w:t>
            </w:r>
          </w:p>
        </w:tc>
        <w:tc>
          <w:tcPr>
            <w:tcW w:w="707" w:type="pct"/>
            <w:tcBorders>
              <w:top w:val="single" w:sz="4" w:space="0" w:color="auto"/>
              <w:bottom w:val="single" w:sz="4" w:space="0" w:color="auto"/>
            </w:tcBorders>
            <w:shd w:val="clear" w:color="000000" w:fill="FFFFFF"/>
            <w:noWrap/>
            <w:vAlign w:val="center"/>
            <w:hideMark/>
          </w:tcPr>
          <w:p w14:paraId="66C23C34" w14:textId="6C4D5F8E" w:rsidR="00D028ED" w:rsidRPr="003C3066" w:rsidRDefault="00D028ED" w:rsidP="00D028ED">
            <w:pPr>
              <w:tabs>
                <w:tab w:val="clear" w:pos="1134"/>
                <w:tab w:val="left" w:pos="1418"/>
              </w:tabs>
              <w:spacing w:before="100" w:after="100"/>
              <w:jc w:val="right"/>
              <w:rPr>
                <w:rFonts w:eastAsia="Times New Roman" w:cs="Calibri"/>
                <w:b/>
                <w:bCs/>
                <w:color w:val="000000"/>
              </w:rPr>
            </w:pPr>
            <w:r>
              <w:rPr>
                <w:b/>
              </w:rPr>
              <w:t>3</w:t>
            </w:r>
            <w:r w:rsidR="00827A70">
              <w:rPr>
                <w:b/>
              </w:rPr>
              <w:t xml:space="preserve"> </w:t>
            </w:r>
            <w:r>
              <w:rPr>
                <w:b/>
              </w:rPr>
              <w:t xml:space="preserve">580,0 </w:t>
            </w:r>
          </w:p>
        </w:tc>
      </w:tr>
    </w:tbl>
    <w:p w14:paraId="5C4BD667" w14:textId="77777777" w:rsidR="00D028ED" w:rsidRPr="003C3066" w:rsidRDefault="00D028ED" w:rsidP="00D028ED">
      <w:pPr>
        <w:tabs>
          <w:tab w:val="clear" w:pos="1134"/>
          <w:tab w:val="left" w:pos="1418"/>
        </w:tabs>
        <w:spacing w:after="200"/>
        <w:jc w:val="left"/>
        <w:rPr>
          <w:rFonts w:eastAsiaTheme="minorEastAsia" w:cstheme="minorBidi"/>
          <w:szCs w:val="22"/>
          <w:lang w:eastAsia="zh-CN"/>
        </w:rPr>
      </w:pPr>
    </w:p>
    <w:p w14:paraId="646D2228" w14:textId="27616071"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En el cuadro 7 se detalla la asignación de los costos prorrateados a cada una de las partidas de asignación presupuestaria/</w:t>
      </w:r>
      <w:r w:rsidR="004C77A6">
        <w:rPr>
          <w:rFonts w:eastAsiaTheme="minorHAnsi" w:cstheme="minorBidi"/>
          <w:lang w:val="es-ES"/>
        </w:rPr>
        <w:t>objetivos</w:t>
      </w:r>
      <w:r w:rsidRPr="00755E85">
        <w:rPr>
          <w:rFonts w:eastAsiaTheme="minorHAnsi" w:cstheme="minorBidi"/>
          <w:lang w:val="es-ES"/>
        </w:rPr>
        <w:t xml:space="preserve"> a largo plazo para cada escenario.</w:t>
      </w:r>
    </w:p>
    <w:p w14:paraId="49C43238" w14:textId="3BBA0C44" w:rsidR="00D028ED" w:rsidRPr="0076566F" w:rsidRDefault="00D028ED" w:rsidP="00D028ED">
      <w:pPr>
        <w:tabs>
          <w:tab w:val="clear" w:pos="1134"/>
          <w:tab w:val="left" w:pos="1418"/>
        </w:tabs>
        <w:spacing w:after="200"/>
        <w:jc w:val="center"/>
        <w:rPr>
          <w:rFonts w:ascii="Times New Roman" w:eastAsia="MS Mincho" w:hAnsi="Times New Roman" w:cs="Times New Roman"/>
          <w:szCs w:val="22"/>
          <w:lang w:val="es-ES" w:eastAsia="zh-TW"/>
        </w:rPr>
      </w:pPr>
      <w:r w:rsidRPr="0076566F">
        <w:rPr>
          <w:rFonts w:eastAsiaTheme="minorEastAsia" w:cstheme="minorBidi"/>
          <w:b/>
          <w:szCs w:val="22"/>
          <w:lang w:val="es-ES"/>
        </w:rPr>
        <w:t>Cuadro 7</w:t>
      </w:r>
      <w:r w:rsidRPr="0076566F">
        <w:rPr>
          <w:rFonts w:eastAsiaTheme="minorEastAsia" w:cstheme="minorBidi"/>
          <w:b/>
          <w:i/>
          <w:szCs w:val="22"/>
          <w:lang w:val="es-ES"/>
        </w:rPr>
        <w:br/>
      </w:r>
      <w:r w:rsidRPr="0076566F">
        <w:rPr>
          <w:rFonts w:eastAsiaTheme="minorEastAsia" w:cstheme="minorBidi"/>
          <w:b/>
          <w:szCs w:val="22"/>
          <w:lang w:val="es-ES"/>
        </w:rPr>
        <w:t>Asignación de costos prorrateados a partidas de asignación de créditos/</w:t>
      </w:r>
      <w:r w:rsidR="004C77A6">
        <w:rPr>
          <w:rFonts w:eastAsiaTheme="minorEastAsia" w:cstheme="minorBidi"/>
          <w:b/>
          <w:szCs w:val="22"/>
          <w:lang w:val="es-ES"/>
        </w:rPr>
        <w:t>objetivos</w:t>
      </w:r>
      <w:r w:rsidRPr="0076566F">
        <w:rPr>
          <w:rFonts w:eastAsiaTheme="minorEastAsia" w:cstheme="minorBidi"/>
          <w:b/>
          <w:szCs w:val="22"/>
          <w:lang w:val="es-ES"/>
        </w:rPr>
        <w:t xml:space="preserve"> a largo plazo en cada </w:t>
      </w:r>
      <w:r w:rsidR="000D15F7">
        <w:rPr>
          <w:rFonts w:eastAsiaTheme="minorEastAsia" w:cstheme="minorBidi"/>
          <w:b/>
          <w:szCs w:val="22"/>
          <w:lang w:val="es-ES"/>
        </w:rPr>
        <w:t>e</w:t>
      </w:r>
      <w:r w:rsidR="00962F1B" w:rsidRPr="0076566F">
        <w:rPr>
          <w:rFonts w:eastAsiaTheme="minorEastAsia" w:cstheme="minorBidi"/>
          <w:b/>
          <w:szCs w:val="22"/>
          <w:lang w:val="es-ES"/>
        </w:rPr>
        <w:t>scenario de gasto máximo</w:t>
      </w:r>
      <w:r w:rsidRPr="0076566F">
        <w:rPr>
          <w:rFonts w:eastAsiaTheme="minorEastAsia" w:cstheme="minorBidi"/>
          <w:b/>
          <w:szCs w:val="22"/>
          <w:lang w:val="es-ES"/>
        </w:rPr>
        <w:br/>
      </w:r>
      <w:r w:rsidRPr="0076566F">
        <w:rPr>
          <w:rFonts w:eastAsiaTheme="minorEastAsia" w:cstheme="minorBidi"/>
          <w:i/>
          <w:szCs w:val="22"/>
          <w:lang w:val="es-ES"/>
        </w:rPr>
        <w:t>(Montos en miles de francos suizos)</w:t>
      </w:r>
      <w:r w:rsidRPr="003C3066">
        <w:rPr>
          <w:rFonts w:eastAsiaTheme="minorEastAsia" w:cstheme="minorBidi"/>
          <w:noProof/>
          <w:szCs w:val="22"/>
        </w:rPr>
        <w:fldChar w:fldCharType="begin"/>
      </w:r>
      <w:r w:rsidRPr="0076566F">
        <w:rPr>
          <w:rFonts w:eastAsiaTheme="minorEastAsia" w:cstheme="minorBidi"/>
          <w:noProof/>
          <w:szCs w:val="22"/>
          <w:lang w:val="es-ES"/>
        </w:rPr>
        <w:instrText xml:space="preserve"> LINK Excel.Sheet.12 "https://wmoomm.sharepoint.com/sites/GS-Finance/Shared%20Documents/Finance/Budget/2024-2027/TABLE%20FOR%20DOCUMENT.xlsx" "Table 7!R2C1:R13C7" \a \f 4 \h  \* MERGEFORMAT </w:instrText>
      </w:r>
      <w:r w:rsidRPr="003C3066">
        <w:rPr>
          <w:rFonts w:eastAsiaTheme="minorEastAsia" w:cstheme="minorBidi"/>
          <w:noProof/>
          <w:szCs w:val="22"/>
        </w:rPr>
        <w:fldChar w:fldCharType="separate"/>
      </w:r>
    </w:p>
    <w:tbl>
      <w:tblPr>
        <w:tblW w:w="5000" w:type="pct"/>
        <w:tblBorders>
          <w:bottom w:val="single" w:sz="8" w:space="0" w:color="auto"/>
          <w:insideH w:val="dotted" w:sz="4" w:space="0" w:color="auto"/>
        </w:tblBorders>
        <w:tblLayout w:type="fixed"/>
        <w:tblLook w:val="04A0" w:firstRow="1" w:lastRow="0" w:firstColumn="1" w:lastColumn="0" w:noHBand="0" w:noVBand="1"/>
      </w:tblPr>
      <w:tblGrid>
        <w:gridCol w:w="6387"/>
        <w:gridCol w:w="270"/>
        <w:gridCol w:w="798"/>
        <w:gridCol w:w="1037"/>
        <w:gridCol w:w="1147"/>
      </w:tblGrid>
      <w:tr w:rsidR="00D028ED" w:rsidRPr="003C3066" w14:paraId="1FE3F885" w14:textId="77777777" w:rsidTr="00642968">
        <w:trPr>
          <w:trHeight w:val="281"/>
        </w:trPr>
        <w:tc>
          <w:tcPr>
            <w:tcW w:w="3313" w:type="pct"/>
            <w:vMerge w:val="restart"/>
            <w:tcBorders>
              <w:top w:val="single" w:sz="8" w:space="0" w:color="auto"/>
              <w:bottom w:val="single" w:sz="8" w:space="0" w:color="auto"/>
            </w:tcBorders>
            <w:shd w:val="clear" w:color="auto" w:fill="F2F2F2" w:themeFill="background1" w:themeFillShade="F2"/>
            <w:vAlign w:val="center"/>
            <w:hideMark/>
          </w:tcPr>
          <w:p w14:paraId="06C77872" w14:textId="77777777" w:rsidR="00D028ED" w:rsidRPr="003C3066" w:rsidRDefault="00D028ED" w:rsidP="00D028ED">
            <w:pPr>
              <w:tabs>
                <w:tab w:val="clear" w:pos="1134"/>
                <w:tab w:val="left" w:pos="1418"/>
              </w:tabs>
              <w:spacing w:before="120" w:after="120"/>
              <w:ind w:firstLineChars="200" w:firstLine="400"/>
              <w:jc w:val="left"/>
              <w:rPr>
                <w:rFonts w:eastAsia="Times New Roman" w:cs="Calibri"/>
                <w:color w:val="000000"/>
                <w:sz w:val="18"/>
                <w:szCs w:val="18"/>
              </w:rPr>
            </w:pPr>
            <w:r>
              <w:t xml:space="preserve">Partidas de asignación presupuestaria </w:t>
            </w:r>
          </w:p>
        </w:tc>
        <w:tc>
          <w:tcPr>
            <w:tcW w:w="140" w:type="pct"/>
            <w:tcBorders>
              <w:top w:val="single" w:sz="4" w:space="0" w:color="auto"/>
              <w:bottom w:val="dotted" w:sz="4" w:space="0" w:color="auto"/>
            </w:tcBorders>
            <w:shd w:val="clear" w:color="auto" w:fill="F2F2F2" w:themeFill="background1" w:themeFillShade="F2"/>
            <w:noWrap/>
            <w:vAlign w:val="bottom"/>
            <w:hideMark/>
          </w:tcPr>
          <w:p w14:paraId="2D6468AF" w14:textId="77777777" w:rsidR="00D028ED" w:rsidRPr="003C3066" w:rsidRDefault="00D028ED" w:rsidP="00D028ED">
            <w:pPr>
              <w:tabs>
                <w:tab w:val="clear" w:pos="1134"/>
                <w:tab w:val="left" w:pos="1418"/>
              </w:tabs>
              <w:spacing w:before="120" w:after="120"/>
              <w:jc w:val="left"/>
              <w:rPr>
                <w:rFonts w:eastAsia="Times New Roman" w:cs="Calibri"/>
                <w:color w:val="000000"/>
                <w:sz w:val="18"/>
                <w:szCs w:val="18"/>
                <w:lang w:eastAsia="zh-CN"/>
              </w:rPr>
            </w:pPr>
            <w:r w:rsidRPr="003C3066">
              <w:rPr>
                <w:rFonts w:eastAsia="Times New Roman" w:cs="Calibri"/>
                <w:color w:val="000000"/>
                <w:sz w:val="18"/>
                <w:szCs w:val="18"/>
              </w:rPr>
              <w:t> </w:t>
            </w:r>
          </w:p>
        </w:tc>
        <w:tc>
          <w:tcPr>
            <w:tcW w:w="1547" w:type="pct"/>
            <w:gridSpan w:val="3"/>
            <w:tcBorders>
              <w:top w:val="single" w:sz="4" w:space="0" w:color="auto"/>
              <w:bottom w:val="dotted" w:sz="4" w:space="0" w:color="auto"/>
            </w:tcBorders>
            <w:shd w:val="clear" w:color="auto" w:fill="F2F2F2" w:themeFill="background1" w:themeFillShade="F2"/>
            <w:noWrap/>
            <w:vAlign w:val="center"/>
            <w:hideMark/>
          </w:tcPr>
          <w:p w14:paraId="0010CF0E" w14:textId="77777777" w:rsidR="00D028ED" w:rsidRPr="003C3066" w:rsidRDefault="00D028ED" w:rsidP="00D028ED">
            <w:pPr>
              <w:tabs>
                <w:tab w:val="clear" w:pos="1134"/>
                <w:tab w:val="left" w:pos="1418"/>
              </w:tabs>
              <w:spacing w:before="120" w:after="120"/>
              <w:jc w:val="center"/>
              <w:rPr>
                <w:rFonts w:eastAsia="Times New Roman" w:cs="Calibri"/>
                <w:color w:val="000000"/>
                <w:sz w:val="18"/>
                <w:szCs w:val="18"/>
              </w:rPr>
            </w:pPr>
            <w:r>
              <w:t>Escenarios</w:t>
            </w:r>
          </w:p>
        </w:tc>
      </w:tr>
      <w:tr w:rsidR="00D028ED" w:rsidRPr="003C3066" w14:paraId="59B1C104" w14:textId="77777777" w:rsidTr="00642968">
        <w:trPr>
          <w:trHeight w:val="223"/>
        </w:trPr>
        <w:tc>
          <w:tcPr>
            <w:tcW w:w="3313" w:type="pct"/>
            <w:vMerge/>
            <w:tcBorders>
              <w:top w:val="dotted" w:sz="4" w:space="0" w:color="auto"/>
              <w:bottom w:val="single" w:sz="8" w:space="0" w:color="auto"/>
            </w:tcBorders>
            <w:shd w:val="clear" w:color="auto" w:fill="F2F2F2" w:themeFill="background1" w:themeFillShade="F2"/>
            <w:vAlign w:val="center"/>
            <w:hideMark/>
          </w:tcPr>
          <w:p w14:paraId="07C1D525" w14:textId="77777777" w:rsidR="00D028ED" w:rsidRPr="003C3066" w:rsidRDefault="00D028ED" w:rsidP="00D028ED">
            <w:pPr>
              <w:tabs>
                <w:tab w:val="clear" w:pos="1134"/>
                <w:tab w:val="left" w:pos="1418"/>
              </w:tabs>
              <w:spacing w:before="120" w:after="120"/>
              <w:jc w:val="left"/>
              <w:rPr>
                <w:rFonts w:eastAsia="Times New Roman" w:cs="Calibri"/>
                <w:color w:val="000000"/>
                <w:sz w:val="18"/>
                <w:szCs w:val="18"/>
                <w:lang w:eastAsia="zh-CN"/>
              </w:rPr>
            </w:pPr>
          </w:p>
        </w:tc>
        <w:tc>
          <w:tcPr>
            <w:tcW w:w="554" w:type="pct"/>
            <w:gridSpan w:val="2"/>
            <w:tcBorders>
              <w:top w:val="dotted" w:sz="4" w:space="0" w:color="auto"/>
              <w:bottom w:val="single" w:sz="4" w:space="0" w:color="auto"/>
            </w:tcBorders>
            <w:shd w:val="clear" w:color="auto" w:fill="F2F2F2" w:themeFill="background1" w:themeFillShade="F2"/>
            <w:vAlign w:val="center"/>
            <w:hideMark/>
          </w:tcPr>
          <w:p w14:paraId="321AB0DA" w14:textId="77777777" w:rsidR="00D028ED" w:rsidRPr="003C3066" w:rsidRDefault="00D028ED" w:rsidP="00D028ED">
            <w:pPr>
              <w:tabs>
                <w:tab w:val="clear" w:pos="1134"/>
                <w:tab w:val="left" w:pos="1418"/>
              </w:tabs>
              <w:spacing w:before="120" w:after="120"/>
              <w:ind w:left="-137"/>
              <w:jc w:val="center"/>
              <w:rPr>
                <w:rFonts w:eastAsia="Times New Roman" w:cs="Calibri"/>
                <w:color w:val="000000"/>
                <w:sz w:val="18"/>
                <w:szCs w:val="18"/>
              </w:rPr>
            </w:pPr>
            <w:r>
              <w:t>Propuesta del Secretario General</w:t>
            </w:r>
          </w:p>
        </w:tc>
        <w:tc>
          <w:tcPr>
            <w:tcW w:w="538" w:type="pct"/>
            <w:tcBorders>
              <w:top w:val="dotted" w:sz="4" w:space="0" w:color="auto"/>
              <w:bottom w:val="single" w:sz="4" w:space="0" w:color="auto"/>
            </w:tcBorders>
            <w:shd w:val="clear" w:color="auto" w:fill="F2F2F2" w:themeFill="background1" w:themeFillShade="F2"/>
            <w:noWrap/>
            <w:vAlign w:val="bottom"/>
            <w:hideMark/>
          </w:tcPr>
          <w:p w14:paraId="44FF6ED1" w14:textId="77777777" w:rsidR="00D028ED" w:rsidRPr="003C3066" w:rsidRDefault="00D028ED" w:rsidP="00D028ED">
            <w:pPr>
              <w:tabs>
                <w:tab w:val="clear" w:pos="1134"/>
                <w:tab w:val="left" w:pos="1418"/>
              </w:tabs>
              <w:spacing w:before="120" w:after="120"/>
              <w:jc w:val="center"/>
              <w:rPr>
                <w:rFonts w:eastAsia="Times New Roman" w:cs="Calibri"/>
                <w:color w:val="000000"/>
                <w:sz w:val="18"/>
                <w:szCs w:val="18"/>
                <w:lang w:eastAsia="zh-CN"/>
              </w:rPr>
            </w:pPr>
            <w:r w:rsidRPr="003C3066">
              <w:rPr>
                <w:rFonts w:eastAsia="Times New Roman" w:cs="Calibri"/>
                <w:color w:val="000000"/>
                <w:sz w:val="18"/>
                <w:szCs w:val="18"/>
              </w:rPr>
              <w:t>Crecimiento nominal nominal (ZNG)</w:t>
            </w:r>
          </w:p>
        </w:tc>
        <w:tc>
          <w:tcPr>
            <w:tcW w:w="523" w:type="pct"/>
            <w:tcBorders>
              <w:top w:val="dotted" w:sz="4" w:space="0" w:color="auto"/>
            </w:tcBorders>
            <w:shd w:val="clear" w:color="auto" w:fill="F2F2F2" w:themeFill="background1" w:themeFillShade="F2"/>
            <w:vAlign w:val="center"/>
            <w:hideMark/>
          </w:tcPr>
          <w:p w14:paraId="164B16AE" w14:textId="77777777" w:rsidR="00D028ED" w:rsidRPr="003C3066" w:rsidRDefault="00D028ED" w:rsidP="00D028ED">
            <w:pPr>
              <w:tabs>
                <w:tab w:val="clear" w:pos="1134"/>
                <w:tab w:val="left" w:pos="1418"/>
              </w:tabs>
              <w:spacing w:before="120" w:after="120"/>
              <w:ind w:right="-253"/>
              <w:jc w:val="left"/>
              <w:rPr>
                <w:rFonts w:eastAsia="Times New Roman" w:cs="Calibri"/>
                <w:color w:val="000000"/>
                <w:sz w:val="18"/>
                <w:szCs w:val="18"/>
              </w:rPr>
            </w:pPr>
            <w:r>
              <w:t>Varianza</w:t>
            </w:r>
          </w:p>
        </w:tc>
      </w:tr>
      <w:tr w:rsidR="00D028ED" w:rsidRPr="003C3066" w14:paraId="776D7D86" w14:textId="77777777" w:rsidTr="00642968">
        <w:trPr>
          <w:trHeight w:val="166"/>
        </w:trPr>
        <w:tc>
          <w:tcPr>
            <w:tcW w:w="3313" w:type="pct"/>
            <w:tcBorders>
              <w:top w:val="single" w:sz="8" w:space="0" w:color="auto"/>
            </w:tcBorders>
            <w:shd w:val="clear" w:color="000000" w:fill="FFFFFF"/>
            <w:noWrap/>
            <w:vAlign w:val="center"/>
            <w:hideMark/>
          </w:tcPr>
          <w:p w14:paraId="13468BF3" w14:textId="77777777" w:rsidR="00D028ED" w:rsidRPr="003C3066" w:rsidRDefault="00D028ED" w:rsidP="00D028ED">
            <w:pPr>
              <w:tabs>
                <w:tab w:val="clear" w:pos="1134"/>
                <w:tab w:val="left" w:pos="1418"/>
              </w:tabs>
              <w:spacing w:before="120" w:after="120"/>
              <w:jc w:val="left"/>
              <w:rPr>
                <w:rFonts w:eastAsia="Times New Roman" w:cs="Calibri"/>
                <w:b/>
                <w:bCs/>
                <w:color w:val="000000"/>
                <w:sz w:val="4"/>
                <w:szCs w:val="4"/>
                <w:lang w:eastAsia="zh-CN"/>
              </w:rPr>
            </w:pPr>
            <w:r w:rsidRPr="003C3066">
              <w:rPr>
                <w:rFonts w:eastAsia="Times New Roman" w:cs="Calibri"/>
                <w:b/>
                <w:color w:val="000000"/>
                <w:sz w:val="4"/>
                <w:szCs w:val="4"/>
              </w:rPr>
              <w:t> </w:t>
            </w:r>
          </w:p>
        </w:tc>
        <w:tc>
          <w:tcPr>
            <w:tcW w:w="554" w:type="pct"/>
            <w:gridSpan w:val="2"/>
            <w:tcBorders>
              <w:top w:val="single" w:sz="4" w:space="0" w:color="auto"/>
            </w:tcBorders>
            <w:shd w:val="clear" w:color="000000" w:fill="FFFFFF"/>
            <w:noWrap/>
            <w:vAlign w:val="center"/>
            <w:hideMark/>
          </w:tcPr>
          <w:p w14:paraId="1473A66C" w14:textId="77777777" w:rsidR="00D028ED" w:rsidRPr="003C3066" w:rsidRDefault="00D028ED" w:rsidP="00D028ED">
            <w:pPr>
              <w:tabs>
                <w:tab w:val="clear" w:pos="1134"/>
                <w:tab w:val="left" w:pos="1418"/>
              </w:tabs>
              <w:spacing w:before="120" w:after="120"/>
              <w:jc w:val="right"/>
              <w:rPr>
                <w:rFonts w:eastAsia="Times New Roman" w:cs="Calibri"/>
                <w:b/>
                <w:bCs/>
                <w:color w:val="000000"/>
                <w:sz w:val="4"/>
                <w:szCs w:val="4"/>
                <w:lang w:eastAsia="zh-CN"/>
              </w:rPr>
            </w:pPr>
            <w:r w:rsidRPr="003C3066">
              <w:rPr>
                <w:rFonts w:eastAsia="Times New Roman" w:cs="Calibri"/>
                <w:b/>
                <w:color w:val="000000"/>
                <w:sz w:val="4"/>
                <w:szCs w:val="4"/>
              </w:rPr>
              <w:t> </w:t>
            </w:r>
          </w:p>
        </w:tc>
        <w:tc>
          <w:tcPr>
            <w:tcW w:w="538" w:type="pct"/>
            <w:tcBorders>
              <w:top w:val="single" w:sz="4" w:space="0" w:color="auto"/>
            </w:tcBorders>
            <w:shd w:val="clear" w:color="000000" w:fill="FFFFFF"/>
            <w:noWrap/>
            <w:vAlign w:val="bottom"/>
            <w:hideMark/>
          </w:tcPr>
          <w:p w14:paraId="33C4391A" w14:textId="77777777" w:rsidR="00D028ED" w:rsidRPr="003C3066" w:rsidRDefault="00D028ED" w:rsidP="00D028ED">
            <w:pPr>
              <w:tabs>
                <w:tab w:val="clear" w:pos="1134"/>
                <w:tab w:val="left" w:pos="1418"/>
              </w:tabs>
              <w:spacing w:before="120" w:after="12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523" w:type="pct"/>
            <w:shd w:val="clear" w:color="000000" w:fill="FFFFFF"/>
            <w:noWrap/>
            <w:vAlign w:val="bottom"/>
            <w:hideMark/>
          </w:tcPr>
          <w:p w14:paraId="09CF794F" w14:textId="77777777" w:rsidR="00D028ED" w:rsidRPr="003C3066" w:rsidRDefault="00D028ED" w:rsidP="00D028ED">
            <w:pPr>
              <w:tabs>
                <w:tab w:val="clear" w:pos="1134"/>
                <w:tab w:val="left" w:pos="1418"/>
              </w:tabs>
              <w:spacing w:before="120" w:after="120"/>
              <w:jc w:val="lef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7BEBFDB8" w14:textId="77777777" w:rsidTr="00642968">
        <w:trPr>
          <w:trHeight w:val="268"/>
        </w:trPr>
        <w:tc>
          <w:tcPr>
            <w:tcW w:w="3313" w:type="pct"/>
            <w:shd w:val="clear" w:color="000000" w:fill="FFFFFF"/>
            <w:noWrap/>
            <w:vAlign w:val="center"/>
            <w:hideMark/>
          </w:tcPr>
          <w:p w14:paraId="3E7575DD" w14:textId="04D0713B" w:rsidR="00D028ED" w:rsidRPr="0076566F" w:rsidRDefault="00D028ED" w:rsidP="00D028ED">
            <w:pPr>
              <w:tabs>
                <w:tab w:val="clear" w:pos="1134"/>
                <w:tab w:val="left" w:pos="1418"/>
              </w:tabs>
              <w:spacing w:before="120" w:after="120"/>
              <w:jc w:val="left"/>
              <w:rPr>
                <w:rFonts w:eastAsia="Times New Roman" w:cs="Calibri"/>
                <w:color w:val="222B35"/>
                <w:sz w:val="18"/>
                <w:szCs w:val="18"/>
                <w:lang w:val="es-ES"/>
              </w:rPr>
            </w:pPr>
            <w:r w:rsidRPr="0076566F">
              <w:rPr>
                <w:lang w:val="es-ES"/>
              </w:rPr>
              <w:t>Partida I. Meta a largo plazo 1. Mejora de la atención de las necesidades de la sociedad</w:t>
            </w:r>
          </w:p>
        </w:tc>
        <w:tc>
          <w:tcPr>
            <w:tcW w:w="554" w:type="pct"/>
            <w:gridSpan w:val="2"/>
            <w:shd w:val="clear" w:color="000000" w:fill="FFFFFF"/>
            <w:noWrap/>
            <w:vAlign w:val="center"/>
            <w:hideMark/>
          </w:tcPr>
          <w:p w14:paraId="3B37869D" w14:textId="735F9AE5"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11</w:t>
            </w:r>
            <w:r w:rsidR="001E1534">
              <w:t xml:space="preserve"> </w:t>
            </w:r>
            <w:r>
              <w:t xml:space="preserve">318,8 </w:t>
            </w:r>
          </w:p>
        </w:tc>
        <w:tc>
          <w:tcPr>
            <w:tcW w:w="538" w:type="pct"/>
            <w:shd w:val="clear" w:color="000000" w:fill="FFFFFF"/>
            <w:noWrap/>
            <w:vAlign w:val="center"/>
            <w:hideMark/>
          </w:tcPr>
          <w:p w14:paraId="5C33FB04" w14:textId="129E453C"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10</w:t>
            </w:r>
            <w:r w:rsidR="001E1534">
              <w:t xml:space="preserve"> </w:t>
            </w:r>
            <w:r>
              <w:t xml:space="preserve">327,1 </w:t>
            </w:r>
          </w:p>
        </w:tc>
        <w:tc>
          <w:tcPr>
            <w:tcW w:w="523" w:type="pct"/>
            <w:shd w:val="clear" w:color="000000" w:fill="FFFFFF"/>
            <w:noWrap/>
            <w:vAlign w:val="center"/>
            <w:hideMark/>
          </w:tcPr>
          <w:p w14:paraId="5131BB51" w14:textId="77777777"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 xml:space="preserve">991,7 </w:t>
            </w:r>
          </w:p>
        </w:tc>
      </w:tr>
      <w:tr w:rsidR="00D028ED" w:rsidRPr="003C3066" w14:paraId="1ADED570" w14:textId="77777777" w:rsidTr="00642968">
        <w:trPr>
          <w:trHeight w:val="268"/>
        </w:trPr>
        <w:tc>
          <w:tcPr>
            <w:tcW w:w="3313" w:type="pct"/>
            <w:shd w:val="clear" w:color="000000" w:fill="FFFFFF"/>
            <w:noWrap/>
            <w:vAlign w:val="center"/>
            <w:hideMark/>
          </w:tcPr>
          <w:p w14:paraId="2771803E" w14:textId="54D5650B" w:rsidR="00D028ED" w:rsidRPr="0076566F" w:rsidRDefault="000D15F7" w:rsidP="00D028ED">
            <w:pPr>
              <w:tabs>
                <w:tab w:val="clear" w:pos="1134"/>
                <w:tab w:val="left" w:pos="1418"/>
              </w:tabs>
              <w:spacing w:before="120" w:after="120"/>
              <w:jc w:val="left"/>
              <w:rPr>
                <w:rFonts w:eastAsia="Times New Roman" w:cs="Calibri"/>
                <w:color w:val="222B35"/>
                <w:sz w:val="18"/>
                <w:szCs w:val="18"/>
                <w:lang w:val="es-ES"/>
              </w:rPr>
            </w:pPr>
            <w:r w:rsidRPr="0076566F">
              <w:rPr>
                <w:lang w:val="es-ES"/>
              </w:rPr>
              <w:lastRenderedPageBreak/>
              <w:t xml:space="preserve">Partida </w:t>
            </w:r>
            <w:r w:rsidR="00D028ED" w:rsidRPr="0076566F">
              <w:rPr>
                <w:lang w:val="es-ES"/>
              </w:rPr>
              <w:t>II. Meta a largo plazo 2. Mejora de las observaciones y las predicciones del sistema Tierra</w:t>
            </w:r>
          </w:p>
        </w:tc>
        <w:tc>
          <w:tcPr>
            <w:tcW w:w="554" w:type="pct"/>
            <w:gridSpan w:val="2"/>
            <w:shd w:val="clear" w:color="000000" w:fill="FFFFFF"/>
            <w:noWrap/>
            <w:vAlign w:val="center"/>
            <w:hideMark/>
          </w:tcPr>
          <w:p w14:paraId="4851A2DD" w14:textId="1C87E833"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10</w:t>
            </w:r>
            <w:r w:rsidR="001E1534">
              <w:t xml:space="preserve"> </w:t>
            </w:r>
            <w:r>
              <w:t xml:space="preserve">320,2 </w:t>
            </w:r>
          </w:p>
        </w:tc>
        <w:tc>
          <w:tcPr>
            <w:tcW w:w="538" w:type="pct"/>
            <w:shd w:val="clear" w:color="000000" w:fill="FFFFFF"/>
            <w:noWrap/>
            <w:vAlign w:val="center"/>
            <w:hideMark/>
          </w:tcPr>
          <w:p w14:paraId="7EE1D80A" w14:textId="4CD9E863"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9</w:t>
            </w:r>
            <w:r w:rsidR="001E1534">
              <w:t xml:space="preserve"> </w:t>
            </w:r>
            <w:r>
              <w:t xml:space="preserve">311,2 </w:t>
            </w:r>
          </w:p>
        </w:tc>
        <w:tc>
          <w:tcPr>
            <w:tcW w:w="523" w:type="pct"/>
            <w:shd w:val="clear" w:color="000000" w:fill="FFFFFF"/>
            <w:noWrap/>
            <w:vAlign w:val="center"/>
            <w:hideMark/>
          </w:tcPr>
          <w:p w14:paraId="3929FD15" w14:textId="5F850C27"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w:t>
            </w:r>
            <w:r w:rsidR="001E1534">
              <w:t xml:space="preserve"> </w:t>
            </w:r>
            <w:r>
              <w:t xml:space="preserve">009,0 </w:t>
            </w:r>
          </w:p>
        </w:tc>
      </w:tr>
      <w:tr w:rsidR="00D028ED" w:rsidRPr="003C3066" w14:paraId="02D153E8" w14:textId="77777777" w:rsidTr="00642968">
        <w:trPr>
          <w:trHeight w:val="268"/>
        </w:trPr>
        <w:tc>
          <w:tcPr>
            <w:tcW w:w="3313" w:type="pct"/>
            <w:shd w:val="clear" w:color="000000" w:fill="FFFFFF"/>
            <w:noWrap/>
            <w:vAlign w:val="center"/>
            <w:hideMark/>
          </w:tcPr>
          <w:p w14:paraId="71AEF61D" w14:textId="18BE8F89" w:rsidR="00D028ED" w:rsidRPr="003C3066" w:rsidRDefault="000D15F7" w:rsidP="00D028ED">
            <w:pPr>
              <w:tabs>
                <w:tab w:val="clear" w:pos="1134"/>
                <w:tab w:val="left" w:pos="1418"/>
              </w:tabs>
              <w:spacing w:before="120" w:after="120"/>
              <w:jc w:val="left"/>
              <w:rPr>
                <w:rFonts w:eastAsia="Times New Roman" w:cs="Calibri"/>
                <w:color w:val="222B35"/>
                <w:sz w:val="18"/>
                <w:szCs w:val="18"/>
              </w:rPr>
            </w:pPr>
            <w:r w:rsidRPr="0076566F">
              <w:rPr>
                <w:lang w:val="es-ES"/>
              </w:rPr>
              <w:t xml:space="preserve">Partida </w:t>
            </w:r>
            <w:r w:rsidR="00D028ED" w:rsidRPr="0076566F">
              <w:rPr>
                <w:lang w:val="es-ES"/>
              </w:rPr>
              <w:t xml:space="preserve">III. Meta a largo plazo 3. </w:t>
            </w:r>
            <w:r w:rsidR="00D028ED">
              <w:t>Promoción de investigaciones específicas</w:t>
            </w:r>
          </w:p>
        </w:tc>
        <w:tc>
          <w:tcPr>
            <w:tcW w:w="554" w:type="pct"/>
            <w:gridSpan w:val="2"/>
            <w:shd w:val="clear" w:color="000000" w:fill="FFFFFF"/>
            <w:noWrap/>
            <w:vAlign w:val="center"/>
            <w:hideMark/>
          </w:tcPr>
          <w:p w14:paraId="60249ADD" w14:textId="42E5582F"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5</w:t>
            </w:r>
            <w:r w:rsidR="001E1534">
              <w:t xml:space="preserve"> </w:t>
            </w:r>
            <w:r>
              <w:t xml:space="preserve">238,9 </w:t>
            </w:r>
          </w:p>
        </w:tc>
        <w:tc>
          <w:tcPr>
            <w:tcW w:w="538" w:type="pct"/>
            <w:shd w:val="clear" w:color="000000" w:fill="FFFFFF"/>
            <w:noWrap/>
            <w:vAlign w:val="center"/>
            <w:hideMark/>
          </w:tcPr>
          <w:p w14:paraId="7755F283" w14:textId="679B719C"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4</w:t>
            </w:r>
            <w:r w:rsidR="001E1534">
              <w:t xml:space="preserve"> </w:t>
            </w:r>
            <w:r>
              <w:t xml:space="preserve">880,3 </w:t>
            </w:r>
          </w:p>
        </w:tc>
        <w:tc>
          <w:tcPr>
            <w:tcW w:w="523" w:type="pct"/>
            <w:shd w:val="clear" w:color="000000" w:fill="FFFFFF"/>
            <w:noWrap/>
            <w:vAlign w:val="center"/>
            <w:hideMark/>
          </w:tcPr>
          <w:p w14:paraId="374590D0" w14:textId="77777777"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358,6</w:t>
            </w:r>
          </w:p>
        </w:tc>
      </w:tr>
      <w:tr w:rsidR="00D028ED" w:rsidRPr="003C3066" w14:paraId="7D556BA9" w14:textId="77777777" w:rsidTr="00642968">
        <w:trPr>
          <w:trHeight w:val="268"/>
        </w:trPr>
        <w:tc>
          <w:tcPr>
            <w:tcW w:w="3313" w:type="pct"/>
            <w:shd w:val="clear" w:color="000000" w:fill="FFFFFF"/>
            <w:noWrap/>
            <w:vAlign w:val="center"/>
            <w:hideMark/>
          </w:tcPr>
          <w:p w14:paraId="338CA4AD" w14:textId="3782C5DD" w:rsidR="00D028ED" w:rsidRPr="0076566F" w:rsidRDefault="000D15F7" w:rsidP="00D028ED">
            <w:pPr>
              <w:tabs>
                <w:tab w:val="clear" w:pos="1134"/>
                <w:tab w:val="left" w:pos="1418"/>
              </w:tabs>
              <w:spacing w:before="120" w:after="120"/>
              <w:jc w:val="left"/>
              <w:rPr>
                <w:rFonts w:eastAsia="Times New Roman" w:cs="Calibri"/>
                <w:color w:val="222B35"/>
                <w:sz w:val="18"/>
                <w:szCs w:val="18"/>
                <w:lang w:val="es-ES"/>
              </w:rPr>
            </w:pPr>
            <w:r w:rsidRPr="0076566F">
              <w:rPr>
                <w:lang w:val="es-ES"/>
              </w:rPr>
              <w:t xml:space="preserve">Partida </w:t>
            </w:r>
            <w:r w:rsidR="00D028ED" w:rsidRPr="0076566F">
              <w:rPr>
                <w:lang w:val="es-ES"/>
              </w:rPr>
              <w:t>IV. Meta a largo plazo 4. Eliminación de las deficiencias de capacidad</w:t>
            </w:r>
          </w:p>
        </w:tc>
        <w:tc>
          <w:tcPr>
            <w:tcW w:w="554" w:type="pct"/>
            <w:gridSpan w:val="2"/>
            <w:shd w:val="clear" w:color="000000" w:fill="FFFFFF"/>
            <w:noWrap/>
            <w:vAlign w:val="center"/>
            <w:hideMark/>
          </w:tcPr>
          <w:p w14:paraId="35965FEF" w14:textId="64F2B2B0"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12</w:t>
            </w:r>
            <w:r w:rsidR="001E1534">
              <w:t xml:space="preserve"> </w:t>
            </w:r>
            <w:r>
              <w:t xml:space="preserve">623,9 </w:t>
            </w:r>
          </w:p>
        </w:tc>
        <w:tc>
          <w:tcPr>
            <w:tcW w:w="538" w:type="pct"/>
            <w:shd w:val="clear" w:color="000000" w:fill="FFFFFF"/>
            <w:noWrap/>
            <w:vAlign w:val="center"/>
            <w:hideMark/>
          </w:tcPr>
          <w:p w14:paraId="64EB318F" w14:textId="0AAF85C2"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11</w:t>
            </w:r>
            <w:r w:rsidR="001E1534">
              <w:t xml:space="preserve"> </w:t>
            </w:r>
            <w:r>
              <w:t xml:space="preserve">588,1 </w:t>
            </w:r>
          </w:p>
        </w:tc>
        <w:tc>
          <w:tcPr>
            <w:tcW w:w="523" w:type="pct"/>
            <w:shd w:val="clear" w:color="000000" w:fill="FFFFFF"/>
            <w:noWrap/>
            <w:vAlign w:val="center"/>
            <w:hideMark/>
          </w:tcPr>
          <w:p w14:paraId="2DD91DB5" w14:textId="62BE87BD"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w:t>
            </w:r>
            <w:r w:rsidR="001E1534">
              <w:t xml:space="preserve"> </w:t>
            </w:r>
            <w:r>
              <w:t xml:space="preserve">035,8 </w:t>
            </w:r>
          </w:p>
        </w:tc>
      </w:tr>
      <w:tr w:rsidR="00D028ED" w:rsidRPr="003C3066" w14:paraId="02874219" w14:textId="77777777" w:rsidTr="00642968">
        <w:trPr>
          <w:trHeight w:val="268"/>
        </w:trPr>
        <w:tc>
          <w:tcPr>
            <w:tcW w:w="3313" w:type="pct"/>
            <w:shd w:val="clear" w:color="000000" w:fill="FFFFFF"/>
            <w:noWrap/>
            <w:vAlign w:val="center"/>
            <w:hideMark/>
          </w:tcPr>
          <w:p w14:paraId="51103A77" w14:textId="269F09DF" w:rsidR="00D028ED" w:rsidRPr="0076566F" w:rsidRDefault="00D028ED" w:rsidP="00D028ED">
            <w:pPr>
              <w:tabs>
                <w:tab w:val="clear" w:pos="1134"/>
                <w:tab w:val="left" w:pos="1418"/>
              </w:tabs>
              <w:spacing w:before="120" w:after="120"/>
              <w:jc w:val="left"/>
              <w:rPr>
                <w:rFonts w:eastAsia="Times New Roman" w:cs="Calibri"/>
                <w:color w:val="222B35"/>
                <w:sz w:val="18"/>
                <w:szCs w:val="18"/>
                <w:lang w:val="es-ES"/>
              </w:rPr>
            </w:pPr>
            <w:r w:rsidRPr="0076566F">
              <w:rPr>
                <w:lang w:val="es-ES"/>
              </w:rPr>
              <w:t>Partida V. Meta a largo plazo 5. Reorientación estratégica de la estructura y los programas de la Organización Meteorológica Mundial</w:t>
            </w:r>
          </w:p>
        </w:tc>
        <w:tc>
          <w:tcPr>
            <w:tcW w:w="554" w:type="pct"/>
            <w:gridSpan w:val="2"/>
            <w:shd w:val="clear" w:color="000000" w:fill="FFFFFF"/>
            <w:noWrap/>
            <w:vAlign w:val="center"/>
            <w:hideMark/>
          </w:tcPr>
          <w:p w14:paraId="769FBBAC" w14:textId="77777777"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 xml:space="preserve">948,8 </w:t>
            </w:r>
          </w:p>
        </w:tc>
        <w:tc>
          <w:tcPr>
            <w:tcW w:w="538" w:type="pct"/>
            <w:shd w:val="clear" w:color="000000" w:fill="FFFFFF"/>
            <w:noWrap/>
            <w:vAlign w:val="center"/>
            <w:hideMark/>
          </w:tcPr>
          <w:p w14:paraId="68EFAA85" w14:textId="77777777"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 xml:space="preserve">901,9 </w:t>
            </w:r>
          </w:p>
        </w:tc>
        <w:tc>
          <w:tcPr>
            <w:tcW w:w="523" w:type="pct"/>
            <w:shd w:val="clear" w:color="000000" w:fill="FFFFFF"/>
            <w:noWrap/>
            <w:vAlign w:val="center"/>
            <w:hideMark/>
          </w:tcPr>
          <w:p w14:paraId="4D6DA607" w14:textId="77777777"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46,9</w:t>
            </w:r>
          </w:p>
        </w:tc>
      </w:tr>
      <w:tr w:rsidR="00D028ED" w:rsidRPr="003C3066" w14:paraId="7B2BFBC8" w14:textId="77777777" w:rsidTr="00642968">
        <w:trPr>
          <w:trHeight w:val="268"/>
        </w:trPr>
        <w:tc>
          <w:tcPr>
            <w:tcW w:w="3313" w:type="pct"/>
            <w:shd w:val="clear" w:color="000000" w:fill="FFFFFF"/>
            <w:noWrap/>
            <w:vAlign w:val="center"/>
            <w:hideMark/>
          </w:tcPr>
          <w:p w14:paraId="19FF6D9C" w14:textId="69002A50" w:rsidR="00D028ED" w:rsidRPr="0076566F" w:rsidRDefault="000D15F7" w:rsidP="00D028ED">
            <w:pPr>
              <w:tabs>
                <w:tab w:val="clear" w:pos="1134"/>
                <w:tab w:val="left" w:pos="1418"/>
              </w:tabs>
              <w:spacing w:before="120" w:after="120"/>
              <w:jc w:val="left"/>
              <w:rPr>
                <w:rFonts w:eastAsia="Times New Roman" w:cs="Calibri"/>
                <w:color w:val="222B35"/>
                <w:sz w:val="18"/>
                <w:szCs w:val="18"/>
                <w:lang w:val="es-ES"/>
              </w:rPr>
            </w:pPr>
            <w:r w:rsidRPr="0076566F">
              <w:rPr>
                <w:lang w:val="es-ES"/>
              </w:rPr>
              <w:t xml:space="preserve">Partida </w:t>
            </w:r>
            <w:r w:rsidR="00D028ED" w:rsidRPr="0076566F">
              <w:rPr>
                <w:lang w:val="es-ES"/>
              </w:rPr>
              <w:t>VI. Órganos normativos, dirección ejecutiva y supervisión</w:t>
            </w:r>
          </w:p>
        </w:tc>
        <w:tc>
          <w:tcPr>
            <w:tcW w:w="554" w:type="pct"/>
            <w:gridSpan w:val="2"/>
            <w:shd w:val="clear" w:color="000000" w:fill="FFFFFF"/>
            <w:noWrap/>
            <w:vAlign w:val="center"/>
            <w:hideMark/>
          </w:tcPr>
          <w:p w14:paraId="771CB9CF" w14:textId="0332D4E5"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8</w:t>
            </w:r>
            <w:r w:rsidR="001E1534">
              <w:t xml:space="preserve"> </w:t>
            </w:r>
            <w:r>
              <w:t xml:space="preserve">308,6 </w:t>
            </w:r>
          </w:p>
        </w:tc>
        <w:tc>
          <w:tcPr>
            <w:tcW w:w="538" w:type="pct"/>
            <w:shd w:val="clear" w:color="000000" w:fill="FFFFFF"/>
            <w:noWrap/>
            <w:vAlign w:val="center"/>
            <w:hideMark/>
          </w:tcPr>
          <w:p w14:paraId="24113DA0" w14:textId="2C590D1F"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8</w:t>
            </w:r>
            <w:r w:rsidR="001E1534">
              <w:t xml:space="preserve"> </w:t>
            </w:r>
            <w:r>
              <w:t xml:space="preserve">170,6 </w:t>
            </w:r>
          </w:p>
        </w:tc>
        <w:tc>
          <w:tcPr>
            <w:tcW w:w="523" w:type="pct"/>
            <w:shd w:val="clear" w:color="000000" w:fill="FFFFFF"/>
            <w:noWrap/>
            <w:vAlign w:val="center"/>
            <w:hideMark/>
          </w:tcPr>
          <w:p w14:paraId="4475EDAE" w14:textId="77777777"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138,0</w:t>
            </w:r>
          </w:p>
        </w:tc>
      </w:tr>
      <w:tr w:rsidR="00D028ED" w:rsidRPr="003C3066" w14:paraId="67F79D22" w14:textId="77777777" w:rsidTr="00642968">
        <w:trPr>
          <w:trHeight w:val="268"/>
        </w:trPr>
        <w:tc>
          <w:tcPr>
            <w:tcW w:w="3313" w:type="pct"/>
            <w:shd w:val="clear" w:color="000000" w:fill="FFFFFF"/>
            <w:noWrap/>
            <w:vAlign w:val="center"/>
            <w:hideMark/>
          </w:tcPr>
          <w:p w14:paraId="6167241C" w14:textId="0CD67CA8" w:rsidR="00D028ED" w:rsidRPr="001E1534" w:rsidRDefault="000D15F7" w:rsidP="00D028ED">
            <w:pPr>
              <w:tabs>
                <w:tab w:val="clear" w:pos="1134"/>
                <w:tab w:val="left" w:pos="1418"/>
              </w:tabs>
              <w:spacing w:before="120" w:after="120"/>
              <w:jc w:val="left"/>
              <w:rPr>
                <w:rFonts w:eastAsia="Times New Roman" w:cs="Calibri"/>
                <w:color w:val="222B35"/>
                <w:lang w:val="es-ES" w:eastAsia="zh-CN"/>
              </w:rPr>
            </w:pPr>
            <w:r w:rsidRPr="001E1534">
              <w:rPr>
                <w:lang w:val="es-ES"/>
              </w:rPr>
              <w:t xml:space="preserve">Partida </w:t>
            </w:r>
            <w:r w:rsidR="00D028ED" w:rsidRPr="001E1534">
              <w:rPr>
                <w:rFonts w:eastAsia="Times New Roman" w:cs="Calibri"/>
                <w:color w:val="222B35"/>
                <w:lang w:val="es-ES"/>
              </w:rPr>
              <w:t>VII. Servicio lingüístico y de conferencias</w:t>
            </w:r>
          </w:p>
        </w:tc>
        <w:tc>
          <w:tcPr>
            <w:tcW w:w="554" w:type="pct"/>
            <w:gridSpan w:val="2"/>
            <w:shd w:val="clear" w:color="000000" w:fill="FFFFFF"/>
            <w:noWrap/>
            <w:vAlign w:val="center"/>
            <w:hideMark/>
          </w:tcPr>
          <w:p w14:paraId="4CE13B22" w14:textId="4D232B1C"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6</w:t>
            </w:r>
            <w:r w:rsidR="001E1534">
              <w:t xml:space="preserve"> </w:t>
            </w:r>
            <w:r>
              <w:t xml:space="preserve">394,0 </w:t>
            </w:r>
          </w:p>
        </w:tc>
        <w:tc>
          <w:tcPr>
            <w:tcW w:w="538" w:type="pct"/>
            <w:shd w:val="clear" w:color="000000" w:fill="FFFFFF"/>
            <w:noWrap/>
            <w:vAlign w:val="center"/>
            <w:hideMark/>
          </w:tcPr>
          <w:p w14:paraId="77A675F1" w14:textId="126E3A44" w:rsidR="00D028ED" w:rsidRPr="003C3066" w:rsidRDefault="00D028ED" w:rsidP="00D028ED">
            <w:pPr>
              <w:tabs>
                <w:tab w:val="clear" w:pos="1134"/>
                <w:tab w:val="left" w:pos="1418"/>
              </w:tabs>
              <w:spacing w:before="120" w:after="120"/>
              <w:jc w:val="right"/>
              <w:rPr>
                <w:rFonts w:eastAsia="Times New Roman" w:cs="Calibri"/>
                <w:color w:val="000000"/>
                <w:sz w:val="18"/>
                <w:szCs w:val="18"/>
              </w:rPr>
            </w:pPr>
            <w:r>
              <w:t>6</w:t>
            </w:r>
            <w:r w:rsidR="001E1534">
              <w:t xml:space="preserve"> </w:t>
            </w:r>
            <w:r>
              <w:t xml:space="preserve">394,0 </w:t>
            </w:r>
          </w:p>
        </w:tc>
        <w:tc>
          <w:tcPr>
            <w:tcW w:w="523" w:type="pct"/>
            <w:shd w:val="clear" w:color="000000" w:fill="FFFFFF"/>
            <w:noWrap/>
            <w:vAlign w:val="center"/>
            <w:hideMark/>
          </w:tcPr>
          <w:p w14:paraId="4807A2A6" w14:textId="77777777" w:rsidR="00D028ED" w:rsidRPr="003C3066" w:rsidRDefault="00D028ED" w:rsidP="00D028ED">
            <w:pPr>
              <w:tabs>
                <w:tab w:val="clear" w:pos="1134"/>
                <w:tab w:val="left" w:pos="1418"/>
              </w:tabs>
              <w:spacing w:before="120" w:after="120"/>
              <w:jc w:val="right"/>
              <w:rPr>
                <w:rFonts w:eastAsia="Times New Roman" w:cs="Calibri"/>
                <w:color w:val="000000"/>
                <w:sz w:val="18"/>
                <w:szCs w:val="18"/>
                <w:lang w:eastAsia="zh-CN"/>
              </w:rPr>
            </w:pPr>
            <w:r w:rsidRPr="003C3066">
              <w:rPr>
                <w:rFonts w:eastAsia="Times New Roman" w:cs="Calibri"/>
                <w:color w:val="000000"/>
                <w:sz w:val="18"/>
                <w:szCs w:val="18"/>
              </w:rPr>
              <w:t>-</w:t>
            </w:r>
          </w:p>
        </w:tc>
      </w:tr>
      <w:tr w:rsidR="00D028ED" w:rsidRPr="003C3066" w14:paraId="7470A407" w14:textId="77777777" w:rsidTr="00642968">
        <w:trPr>
          <w:trHeight w:val="120"/>
        </w:trPr>
        <w:tc>
          <w:tcPr>
            <w:tcW w:w="3313" w:type="pct"/>
            <w:tcBorders>
              <w:bottom w:val="single" w:sz="4" w:space="0" w:color="auto"/>
            </w:tcBorders>
            <w:shd w:val="clear" w:color="000000" w:fill="FFFFFF"/>
            <w:noWrap/>
            <w:vAlign w:val="center"/>
            <w:hideMark/>
          </w:tcPr>
          <w:p w14:paraId="21541199" w14:textId="77777777" w:rsidR="00D028ED" w:rsidRPr="003C3066" w:rsidRDefault="00D028ED" w:rsidP="00D028ED">
            <w:pPr>
              <w:tabs>
                <w:tab w:val="clear" w:pos="1134"/>
                <w:tab w:val="left" w:pos="1418"/>
              </w:tabs>
              <w:spacing w:before="120" w:after="120"/>
              <w:ind w:firstLineChars="200" w:firstLine="80"/>
              <w:jc w:val="left"/>
              <w:rPr>
                <w:rFonts w:eastAsia="Times New Roman" w:cs="Calibri"/>
                <w:color w:val="222B35"/>
                <w:sz w:val="4"/>
                <w:szCs w:val="4"/>
                <w:lang w:eastAsia="zh-CN"/>
              </w:rPr>
            </w:pPr>
            <w:r w:rsidRPr="003C3066">
              <w:rPr>
                <w:rFonts w:eastAsia="Times New Roman" w:cs="Calibri"/>
                <w:color w:val="222B35"/>
                <w:sz w:val="4"/>
                <w:szCs w:val="4"/>
              </w:rPr>
              <w:t> </w:t>
            </w:r>
          </w:p>
        </w:tc>
        <w:tc>
          <w:tcPr>
            <w:tcW w:w="554" w:type="pct"/>
            <w:gridSpan w:val="2"/>
            <w:tcBorders>
              <w:bottom w:val="single" w:sz="4" w:space="0" w:color="auto"/>
            </w:tcBorders>
            <w:shd w:val="clear" w:color="000000" w:fill="FFFFFF"/>
            <w:noWrap/>
            <w:vAlign w:val="center"/>
            <w:hideMark/>
          </w:tcPr>
          <w:p w14:paraId="3133D1CE" w14:textId="77777777" w:rsidR="00D028ED" w:rsidRPr="003C3066" w:rsidRDefault="00D028ED" w:rsidP="00D028ED">
            <w:pPr>
              <w:tabs>
                <w:tab w:val="clear" w:pos="1134"/>
                <w:tab w:val="left" w:pos="1418"/>
              </w:tabs>
              <w:spacing w:before="120" w:after="120"/>
              <w:jc w:val="center"/>
              <w:rPr>
                <w:rFonts w:eastAsia="Times New Roman" w:cs="Calibri"/>
                <w:color w:val="000000"/>
                <w:sz w:val="4"/>
                <w:szCs w:val="4"/>
                <w:lang w:eastAsia="zh-CN"/>
              </w:rPr>
            </w:pPr>
            <w:r w:rsidRPr="003C3066">
              <w:rPr>
                <w:rFonts w:eastAsia="Times New Roman" w:cs="Calibri"/>
                <w:color w:val="000000"/>
                <w:sz w:val="4"/>
                <w:szCs w:val="4"/>
              </w:rPr>
              <w:t> </w:t>
            </w:r>
          </w:p>
        </w:tc>
        <w:tc>
          <w:tcPr>
            <w:tcW w:w="538" w:type="pct"/>
            <w:tcBorders>
              <w:bottom w:val="single" w:sz="4" w:space="0" w:color="auto"/>
            </w:tcBorders>
            <w:shd w:val="clear" w:color="000000" w:fill="FFFFFF"/>
            <w:noWrap/>
            <w:vAlign w:val="bottom"/>
            <w:hideMark/>
          </w:tcPr>
          <w:p w14:paraId="2C04A0A8" w14:textId="77777777" w:rsidR="00D028ED" w:rsidRPr="003C3066" w:rsidRDefault="00D028ED" w:rsidP="00D028ED">
            <w:pPr>
              <w:tabs>
                <w:tab w:val="clear" w:pos="1134"/>
                <w:tab w:val="left" w:pos="1418"/>
              </w:tabs>
              <w:spacing w:before="120" w:after="12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523" w:type="pct"/>
            <w:tcBorders>
              <w:bottom w:val="single" w:sz="4" w:space="0" w:color="auto"/>
            </w:tcBorders>
            <w:shd w:val="clear" w:color="000000" w:fill="FFFFFF"/>
            <w:noWrap/>
            <w:vAlign w:val="bottom"/>
            <w:hideMark/>
          </w:tcPr>
          <w:p w14:paraId="4894182F" w14:textId="77777777" w:rsidR="00D028ED" w:rsidRPr="003C3066" w:rsidRDefault="00D028ED" w:rsidP="00D028ED">
            <w:pPr>
              <w:tabs>
                <w:tab w:val="clear" w:pos="1134"/>
                <w:tab w:val="left" w:pos="1418"/>
              </w:tabs>
              <w:spacing w:before="120" w:after="120"/>
              <w:jc w:val="lef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4F2435F4" w14:textId="77777777" w:rsidTr="00642968">
        <w:trPr>
          <w:trHeight w:val="294"/>
        </w:trPr>
        <w:tc>
          <w:tcPr>
            <w:tcW w:w="3313" w:type="pct"/>
            <w:tcBorders>
              <w:top w:val="single" w:sz="4" w:space="0" w:color="auto"/>
              <w:bottom w:val="single" w:sz="8" w:space="0" w:color="auto"/>
            </w:tcBorders>
            <w:shd w:val="clear" w:color="000000" w:fill="FFFFFF"/>
            <w:noWrap/>
            <w:vAlign w:val="center"/>
            <w:hideMark/>
          </w:tcPr>
          <w:p w14:paraId="2051A265" w14:textId="77777777" w:rsidR="00D028ED" w:rsidRPr="003C3066" w:rsidRDefault="00D028ED" w:rsidP="00D028ED">
            <w:pPr>
              <w:tabs>
                <w:tab w:val="clear" w:pos="1134"/>
                <w:tab w:val="left" w:pos="1418"/>
              </w:tabs>
              <w:spacing w:before="120" w:after="120"/>
              <w:ind w:firstLineChars="200" w:firstLine="361"/>
              <w:jc w:val="left"/>
              <w:rPr>
                <w:rFonts w:eastAsia="Times New Roman" w:cs="Calibri"/>
                <w:b/>
                <w:bCs/>
                <w:color w:val="000000"/>
                <w:sz w:val="18"/>
                <w:szCs w:val="18"/>
                <w:lang w:eastAsia="zh-CN"/>
              </w:rPr>
            </w:pPr>
            <w:r w:rsidRPr="003C3066">
              <w:rPr>
                <w:rFonts w:eastAsia="Times New Roman" w:cs="Calibri"/>
                <w:b/>
                <w:color w:val="000000"/>
                <w:sz w:val="18"/>
                <w:szCs w:val="18"/>
              </w:rPr>
              <w:t>TOTAL</w:t>
            </w:r>
          </w:p>
        </w:tc>
        <w:tc>
          <w:tcPr>
            <w:tcW w:w="554" w:type="pct"/>
            <w:gridSpan w:val="2"/>
            <w:tcBorders>
              <w:top w:val="single" w:sz="4" w:space="0" w:color="auto"/>
              <w:bottom w:val="single" w:sz="8" w:space="0" w:color="auto"/>
            </w:tcBorders>
            <w:shd w:val="clear" w:color="000000" w:fill="FFFFFF"/>
            <w:noWrap/>
            <w:vAlign w:val="center"/>
            <w:hideMark/>
          </w:tcPr>
          <w:p w14:paraId="76CFCE49" w14:textId="7B826760" w:rsidR="00D028ED" w:rsidRPr="003C3066" w:rsidRDefault="00D028ED" w:rsidP="00D028ED">
            <w:pPr>
              <w:tabs>
                <w:tab w:val="clear" w:pos="1134"/>
                <w:tab w:val="left" w:pos="1418"/>
              </w:tabs>
              <w:spacing w:before="120" w:after="120"/>
              <w:ind w:right="-37"/>
              <w:jc w:val="right"/>
              <w:rPr>
                <w:rFonts w:eastAsia="Times New Roman" w:cs="Calibri"/>
                <w:b/>
                <w:bCs/>
                <w:color w:val="000000"/>
                <w:sz w:val="18"/>
                <w:szCs w:val="18"/>
              </w:rPr>
            </w:pPr>
            <w:r>
              <w:rPr>
                <w:b/>
              </w:rPr>
              <w:t>55</w:t>
            </w:r>
            <w:r w:rsidR="001E1534">
              <w:rPr>
                <w:b/>
              </w:rPr>
              <w:t xml:space="preserve"> </w:t>
            </w:r>
            <w:r>
              <w:rPr>
                <w:b/>
              </w:rPr>
              <w:t xml:space="preserve">153,2 </w:t>
            </w:r>
          </w:p>
        </w:tc>
        <w:tc>
          <w:tcPr>
            <w:tcW w:w="538" w:type="pct"/>
            <w:tcBorders>
              <w:top w:val="single" w:sz="4" w:space="0" w:color="auto"/>
              <w:bottom w:val="single" w:sz="8" w:space="0" w:color="auto"/>
            </w:tcBorders>
            <w:shd w:val="clear" w:color="000000" w:fill="FFFFFF"/>
            <w:noWrap/>
            <w:vAlign w:val="center"/>
            <w:hideMark/>
          </w:tcPr>
          <w:p w14:paraId="1D29BF4E" w14:textId="1ADE0124" w:rsidR="00D028ED" w:rsidRPr="003C3066" w:rsidRDefault="00D028ED" w:rsidP="00D028ED">
            <w:pPr>
              <w:tabs>
                <w:tab w:val="clear" w:pos="1134"/>
                <w:tab w:val="left" w:pos="1418"/>
              </w:tabs>
              <w:spacing w:before="120" w:after="120"/>
              <w:ind w:left="95" w:right="-79"/>
              <w:jc w:val="right"/>
              <w:rPr>
                <w:rFonts w:eastAsia="Times New Roman" w:cs="Calibri"/>
                <w:b/>
                <w:bCs/>
                <w:color w:val="000000"/>
                <w:sz w:val="18"/>
                <w:szCs w:val="18"/>
              </w:rPr>
            </w:pPr>
            <w:r>
              <w:rPr>
                <w:b/>
              </w:rPr>
              <w:t>51</w:t>
            </w:r>
            <w:r w:rsidR="001E1534">
              <w:rPr>
                <w:b/>
              </w:rPr>
              <w:t xml:space="preserve"> </w:t>
            </w:r>
            <w:r>
              <w:rPr>
                <w:b/>
              </w:rPr>
              <w:t xml:space="preserve">573,2 </w:t>
            </w:r>
          </w:p>
        </w:tc>
        <w:tc>
          <w:tcPr>
            <w:tcW w:w="523" w:type="pct"/>
            <w:tcBorders>
              <w:top w:val="single" w:sz="4" w:space="0" w:color="auto"/>
              <w:bottom w:val="single" w:sz="8" w:space="0" w:color="auto"/>
            </w:tcBorders>
            <w:shd w:val="clear" w:color="000000" w:fill="FFFFFF"/>
            <w:noWrap/>
            <w:vAlign w:val="center"/>
            <w:hideMark/>
          </w:tcPr>
          <w:p w14:paraId="659CE5AE" w14:textId="6A6D79C9" w:rsidR="00D028ED" w:rsidRPr="003C3066" w:rsidRDefault="00D028ED" w:rsidP="00D028ED">
            <w:pPr>
              <w:tabs>
                <w:tab w:val="clear" w:pos="1134"/>
                <w:tab w:val="left" w:pos="1418"/>
              </w:tabs>
              <w:spacing w:before="120" w:after="120"/>
              <w:ind w:right="-111"/>
              <w:jc w:val="right"/>
              <w:rPr>
                <w:rFonts w:eastAsia="Times New Roman" w:cs="Calibri"/>
                <w:b/>
                <w:bCs/>
                <w:color w:val="000000"/>
                <w:sz w:val="18"/>
                <w:szCs w:val="18"/>
              </w:rPr>
            </w:pPr>
            <w:r>
              <w:rPr>
                <w:b/>
              </w:rPr>
              <w:t>3</w:t>
            </w:r>
            <w:r w:rsidR="001E1534">
              <w:rPr>
                <w:b/>
              </w:rPr>
              <w:t xml:space="preserve"> </w:t>
            </w:r>
            <w:r>
              <w:rPr>
                <w:b/>
              </w:rPr>
              <w:t xml:space="preserve">580,0 </w:t>
            </w:r>
          </w:p>
        </w:tc>
      </w:tr>
    </w:tbl>
    <w:p w14:paraId="3B36A124" w14:textId="6CD280B4" w:rsidR="00D028ED" w:rsidRPr="003C3066" w:rsidRDefault="00D028ED" w:rsidP="00D028ED">
      <w:pPr>
        <w:tabs>
          <w:tab w:val="clear" w:pos="1134"/>
          <w:tab w:val="left" w:pos="1418"/>
        </w:tabs>
        <w:spacing w:after="200"/>
        <w:jc w:val="left"/>
        <w:rPr>
          <w:rFonts w:eastAsiaTheme="minorEastAsia" w:cstheme="minorBidi"/>
          <w:szCs w:val="22"/>
          <w:lang w:eastAsia="zh-CN"/>
        </w:rPr>
      </w:pPr>
      <w:r w:rsidRPr="003C3066">
        <w:rPr>
          <w:rFonts w:eastAsiaTheme="minorEastAsia" w:cstheme="minorBidi"/>
          <w:noProof/>
          <w:szCs w:val="22"/>
        </w:rPr>
        <w:fldChar w:fldCharType="end"/>
      </w:r>
    </w:p>
    <w:p w14:paraId="39D0B134"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eastAsia="zh-CN"/>
        </w:rPr>
      </w:pPr>
      <w:bookmarkStart w:id="9" w:name="_Toc121390461"/>
      <w:r w:rsidRPr="003C3066">
        <w:rPr>
          <w:rFonts w:eastAsiaTheme="majorEastAsia" w:cstheme="majorBidi"/>
          <w:b/>
        </w:rPr>
        <w:t>Economías y eficiencias</w:t>
      </w:r>
      <w:bookmarkEnd w:id="9"/>
    </w:p>
    <w:p w14:paraId="162AEA8A" w14:textId="11D37D48"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Desde 1995, bajo la dirección del Consejo Ejecutivo y del Congreso, la OMM ha introducido continuamente medidas para mejorar la eficiencia y la eficacia tanto de la ejecución programática como de las operaciones de apoyo. El Consejo Ejecutivo, en su 75ª reunión, pidió además a la organización que </w:t>
      </w:r>
      <w:r w:rsidR="00507855">
        <w:rPr>
          <w:rFonts w:eastAsiaTheme="minorHAnsi" w:cstheme="minorBidi"/>
          <w:lang w:val="es-ES"/>
        </w:rPr>
        <w:t>“</w:t>
      </w:r>
      <w:r w:rsidRPr="00755E85">
        <w:rPr>
          <w:rFonts w:eastAsiaTheme="minorHAnsi" w:cstheme="minorBidi"/>
          <w:lang w:val="es-ES"/>
        </w:rPr>
        <w:t>determinara posibles eficiencias adicionales de las actividades de la OMM y posibles reasignaciones de recursos para armonizar los escenarios con el Plan Estratégico para 2024-2027</w:t>
      </w:r>
      <w:r w:rsidR="00507855">
        <w:rPr>
          <w:rFonts w:eastAsiaTheme="minorHAnsi" w:cstheme="minorBidi"/>
          <w:lang w:val="es-ES"/>
        </w:rPr>
        <w:t>”</w:t>
      </w:r>
      <w:r w:rsidRPr="00755E85">
        <w:rPr>
          <w:rFonts w:eastAsiaTheme="minorHAnsi" w:cstheme="minorBidi"/>
          <w:lang w:val="es-ES"/>
        </w:rPr>
        <w:t>. Si bien los ahorros obtenidos en las áreas administrativas se han reasignado estratégicamente a las áreas programáticas, la limitada flexibilidad para continuar introduciendo economías adicionales sin comprometer la calidad del servicio interno prestado es una realidad que debe tenerse en cuenta.</w:t>
      </w:r>
    </w:p>
    <w:p w14:paraId="07747106" w14:textId="0B0F68C5"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lang w:val="es-ES"/>
        </w:rPr>
        <w:t xml:space="preserve">El proceso de mejora continua llevado a cabo por la Secretaría dio lugar a una mayor eficiencia, lo que reflejaba tanto los escenarios de gastos máximos para 2024-2027. En las secciones siguientes se describen las economías y eficiencias identificadas y cómo se han tenido en cuenta en la preparación de los escenarios de gastos máximos propuestos para 2024-2027. En la primera sección se describen las eficiencias identificadas y realizadas durante el período financiero 2020-2023, incluida la reinversión de esas eficiencias. En la segunda sección se describen las eficiencias adicionales que se han determinado específicamente en relación con el </w:t>
      </w:r>
      <w:r w:rsidR="00AF58A2">
        <w:rPr>
          <w:rFonts w:eastAsiaTheme="minorHAnsi" w:cstheme="minorBidi"/>
          <w:lang w:val="es-ES"/>
        </w:rPr>
        <w:t>ejercicio económico</w:t>
      </w:r>
      <w:r w:rsidRPr="00755E85">
        <w:rPr>
          <w:rFonts w:eastAsiaTheme="minorHAnsi" w:cstheme="minorBidi"/>
          <w:lang w:val="es-ES"/>
        </w:rPr>
        <w:t xml:space="preserve"> 2024-2027.</w:t>
      </w:r>
    </w:p>
    <w:p w14:paraId="1920B232" w14:textId="431D1C08" w:rsidR="00D028ED" w:rsidRPr="00755E85" w:rsidRDefault="00D028ED" w:rsidP="00D028ED">
      <w:pPr>
        <w:tabs>
          <w:tab w:val="clear" w:pos="1134"/>
          <w:tab w:val="left" w:pos="1418"/>
        </w:tabs>
        <w:spacing w:after="200"/>
        <w:jc w:val="left"/>
        <w:textAlignment w:val="baseline"/>
        <w:rPr>
          <w:rFonts w:eastAsiaTheme="minorEastAsia" w:cstheme="minorBidi"/>
          <w:i/>
          <w:szCs w:val="22"/>
          <w:lang w:val="es-ES" w:eastAsia="zh-CN"/>
        </w:rPr>
      </w:pPr>
      <w:bookmarkStart w:id="10" w:name="_Toc102633071"/>
      <w:bookmarkStart w:id="11" w:name="_Toc102650823"/>
      <w:r w:rsidRPr="00755E85">
        <w:rPr>
          <w:rFonts w:eastAsiaTheme="minorEastAsia" w:cstheme="minorBidi"/>
          <w:i/>
          <w:szCs w:val="22"/>
          <w:lang w:val="es-ES"/>
        </w:rPr>
        <w:t xml:space="preserve">Eficiencias en vigor, identificadas y materiales durante el </w:t>
      </w:r>
      <w:r w:rsidR="0081533F">
        <w:rPr>
          <w:rFonts w:eastAsiaTheme="minorEastAsia" w:cstheme="minorBidi"/>
          <w:i/>
          <w:szCs w:val="22"/>
          <w:lang w:val="es-ES"/>
        </w:rPr>
        <w:t>ejercicio económico</w:t>
      </w:r>
      <w:r w:rsidRPr="00755E85">
        <w:rPr>
          <w:rFonts w:eastAsiaTheme="minorEastAsia" w:cstheme="minorBidi"/>
          <w:i/>
          <w:szCs w:val="22"/>
          <w:lang w:val="es-ES"/>
        </w:rPr>
        <w:t xml:space="preserve"> 2020-2023</w:t>
      </w:r>
    </w:p>
    <w:bookmarkEnd w:id="10"/>
    <w:bookmarkEnd w:id="11"/>
    <w:p w14:paraId="1660F8CA" w14:textId="7B712251" w:rsidR="00D028ED" w:rsidRPr="00755E85"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i/>
          <w:iCs/>
          <w:lang w:val="es-ES"/>
        </w:rPr>
        <w:t>Reforma de los órganos integrantes</w:t>
      </w:r>
      <w:r w:rsidRPr="00755E85">
        <w:rPr>
          <w:rFonts w:eastAsiaTheme="minorHAnsi" w:cstheme="minorBidi"/>
          <w:lang w:val="es-ES"/>
        </w:rPr>
        <w:t xml:space="preserve">. La reforma de los órganos integrantes, emprendida durante el decimoctavo </w:t>
      </w:r>
      <w:r w:rsidR="00824247">
        <w:rPr>
          <w:rFonts w:eastAsiaTheme="minorHAnsi" w:cstheme="minorBidi"/>
          <w:lang w:val="es-ES"/>
        </w:rPr>
        <w:t>ejercicio económico</w:t>
      </w:r>
      <w:r w:rsidRPr="00755E85">
        <w:rPr>
          <w:rFonts w:eastAsiaTheme="minorHAnsi" w:cstheme="minorBidi"/>
          <w:lang w:val="es-ES"/>
        </w:rPr>
        <w:t>, había mejorado considerablemente la eficiencia y la eficacia de la OMM, gracias a la racionalización de los recursos, la mejora de la capacidad de adopción de decisiones, la planificación más dinámica y activa de las reuniones y la organización general del funcionamiento de la OMM. Si bien la reforma es, en general, una inversión neutra desde el punto de vista financiero, construyó el marco y facilitó la realización de economías adicionales en las actividades administrativas y materializó inversiones clave en áreas programáticas y dentro de las regiones de la OMM.</w:t>
      </w:r>
    </w:p>
    <w:p w14:paraId="213521F2" w14:textId="4B09A874"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755E85">
        <w:rPr>
          <w:rFonts w:eastAsiaTheme="minorHAnsi" w:cstheme="minorBidi"/>
          <w:i/>
          <w:iCs/>
          <w:lang w:val="es-ES"/>
        </w:rPr>
        <w:lastRenderedPageBreak/>
        <w:t>Reforma administrativa</w:t>
      </w:r>
      <w:r w:rsidRPr="00755E85">
        <w:rPr>
          <w:rFonts w:eastAsiaTheme="minorHAnsi" w:cstheme="minorBidi"/>
          <w:lang w:val="es-ES"/>
        </w:rPr>
        <w:t xml:space="preserve">. En consonancia con la petición formulada por el Decimoctavo Congreso Meteorológico Mundial, el Secretario General determinó que el aumento de la eficiencia, especialmente en las labores administrativas, se traduce en ahorros sostenidos que superaron la suma solicitada de 5,3 millones de francos suizos durante el decimoctavo </w:t>
      </w:r>
      <w:r w:rsidR="00E65AD2">
        <w:rPr>
          <w:rFonts w:eastAsiaTheme="minorHAnsi" w:cstheme="minorBidi"/>
          <w:lang w:val="es-ES"/>
        </w:rPr>
        <w:t>ejercicio económico</w:t>
      </w:r>
      <w:r w:rsidRPr="00755E85">
        <w:rPr>
          <w:rFonts w:eastAsiaTheme="minorHAnsi" w:cstheme="minorBidi"/>
          <w:lang w:val="es-ES"/>
        </w:rPr>
        <w:t xml:space="preserve">. La reorganización se tradujo en ahorros anuales en los procesos administrativos de 2,7 millones de francos suizos anuales, que se materializó en 2021 y que se materializó en cada año posterior. </w:t>
      </w:r>
      <w:r w:rsidRPr="009D1B2C">
        <w:rPr>
          <w:rFonts w:eastAsiaTheme="minorHAnsi" w:cstheme="minorBidi"/>
          <w:lang w:val="es-ES"/>
        </w:rPr>
        <w:t>Los ahorros derivados de la reorganización se lograron generalmente mediante la racionalización y centralización del proceso administrativo, lo que dio lugar a una reducción considerable de los gastos de personal, en particular en el cuadro de servicios generales, con cierto aumento limitado de los costos contractuales relacionados con la externalización de determinados servicios. Los escenarios de gastos máximos para 2024-2027 incorporan el compromiso continuo de esas economías materializadas y las eficiencias logradas en el apoyo administrativo a las actividades programáticas.</w:t>
      </w:r>
    </w:p>
    <w:p w14:paraId="0E63FC1C" w14:textId="2D86B2C1"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bookmarkStart w:id="12" w:name="_Toc102633073"/>
      <w:bookmarkStart w:id="13" w:name="_Toc102650825"/>
      <w:r w:rsidRPr="009D1B2C">
        <w:rPr>
          <w:rFonts w:eastAsiaTheme="minorHAnsi" w:cstheme="minorBidi"/>
          <w:i/>
          <w:iCs/>
          <w:lang w:val="es-ES"/>
        </w:rPr>
        <w:t>Servicios y reuniones lingüísticos, de conferencias y publicaciones</w:t>
      </w:r>
      <w:r w:rsidRPr="009D1B2C">
        <w:rPr>
          <w:rFonts w:eastAsiaTheme="minorHAnsi" w:cstheme="minorBidi"/>
          <w:lang w:val="es-ES"/>
        </w:rPr>
        <w:t>: Durante los últimos períodos financieros se han introducido acumulativamente una cantidad considerable de medidas de ahorro. El esfuerzo por reducir el volumen de documentación, la introducción de herramientas de traducción asistida por computadora y de máquina y la racionalización de la planificación y gestión de las publicaciones de la Organización redujo radicalmente los requisitos de impresión tanto en la documentación como en las publicaciones. Otras iniciativas, como las reuniones sin papel, la política de publicaciones en línea, la externalización de la impresión y la traducción, el uso de videoconferencias y la reducción del número de días de algunas reuniones de los órganos integrantes y otras reuniones importantes contribuyeron en gran medida a la realización sostenida de las economías y permitieron aumentar el número de reuniones multilingües sin recursos adicionales. Esta optimización de los recursos y la inversión en la transformación ha contribuido a la reasignación de recursos a los departamentos técnicos a fin de ampliar aún más el nivel de servicios lingüísticos, de conferencias y de publicación prestados a los Miembros sin gastos adicionales. Los ahorros realizados en 2020-2023 asociados a esas actividades se incluyen en los 2,7 millones de francos suizos anuales descritos en el párrafo 28.</w:t>
      </w:r>
    </w:p>
    <w:p w14:paraId="2CCB84AE" w14:textId="16D9F45C"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lang w:val="es-ES"/>
        </w:rPr>
        <w:t>Reinversión de ahorros realizados en 2020-2023: Como se describe en el documento INF relativo al presupuesto para el bienio 2022-2023 y aprobado en la resolución conexa</w:t>
      </w:r>
      <w:r w:rsidRPr="003C3066">
        <w:rPr>
          <w:rFonts w:eastAsiaTheme="minorHAnsi" w:cstheme="minorBidi"/>
          <w:vertAlign w:val="superscript"/>
        </w:rPr>
        <w:footnoteReference w:id="3"/>
      </w:r>
      <w:r w:rsidRPr="009D1B2C">
        <w:rPr>
          <w:lang w:val="es-ES"/>
        </w:rPr>
        <w:t>, los ahorros y la eficiencia logrados, en particular a partir de la reforma administrativa, fueron reinvertidos por el Secretario General mediante el aumento de los conocimientos en esferas críticas de la Secretaría a través de la contratación, principalmente del personal del cuadro orgánico de nivel intermedio, en las funciones técnicas, con especial atención al fortalecimiento de las actividades regionales y de desarrollo de capacidad de la OMM para seguir prestando servicios a los Miembros. La contribución a las actividades regionales, que hasta ahora se ha logrado mediante la creación y el desempeño de siete puestos adicionales en las oficinas regionales, repercutirá directamente en la mejora de la coordinación de la OMM con los Servicios Meteorológicos e Hidrológicos Nacionales (SMHN) en las regiones y en la ejecución de actividades mundiales. Como ya se ha señalado, se prevé una mayor inversión en las oficinas regionales a través del proceso de reforma de la Oficina Regional incorporado en el escenario de propuesta del Secretario General.</w:t>
      </w:r>
    </w:p>
    <w:p w14:paraId="16ADDE21" w14:textId="25A6BD78"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 xml:space="preserve">La reinversión de esas eficiencias en los puestos de personal fue una aportación clave a las necesidades de dotación de personal de referencia para los escenarios de gastos máximos para el </w:t>
      </w:r>
      <w:r w:rsidR="00F8507A">
        <w:rPr>
          <w:rFonts w:eastAsiaTheme="minorHAnsi" w:cstheme="minorBidi"/>
          <w:lang w:val="es-ES"/>
        </w:rPr>
        <w:t>ejercicio económico</w:t>
      </w:r>
      <w:r w:rsidRPr="009D1B2C">
        <w:rPr>
          <w:rFonts w:eastAsiaTheme="minorHAnsi" w:cstheme="minorBidi"/>
          <w:lang w:val="es-ES"/>
        </w:rPr>
        <w:t xml:space="preserve"> 2024-2027.</w:t>
      </w:r>
    </w:p>
    <w:p w14:paraId="272F6671" w14:textId="2717F54B" w:rsidR="00D028ED" w:rsidRPr="009D1B2C" w:rsidRDefault="00D028ED" w:rsidP="00D028ED">
      <w:pPr>
        <w:tabs>
          <w:tab w:val="clear" w:pos="1134"/>
          <w:tab w:val="left" w:pos="1418"/>
        </w:tabs>
        <w:spacing w:after="200"/>
        <w:jc w:val="left"/>
        <w:textAlignment w:val="baseline"/>
        <w:rPr>
          <w:rFonts w:eastAsiaTheme="minorEastAsia" w:cstheme="minorBidi"/>
          <w:i/>
          <w:szCs w:val="22"/>
          <w:lang w:val="es-ES" w:eastAsia="zh-CN"/>
        </w:rPr>
      </w:pPr>
      <w:r w:rsidRPr="009D1B2C">
        <w:rPr>
          <w:rFonts w:eastAsiaTheme="minorEastAsia" w:cstheme="minorBidi"/>
          <w:i/>
          <w:szCs w:val="22"/>
          <w:lang w:val="es-ES"/>
        </w:rPr>
        <w:t xml:space="preserve">Se han determinado otras eficiencias y economías para el </w:t>
      </w:r>
      <w:r w:rsidR="0098598E">
        <w:rPr>
          <w:rFonts w:eastAsiaTheme="minorEastAsia" w:cstheme="minorBidi"/>
          <w:i/>
          <w:szCs w:val="22"/>
          <w:lang w:val="es-ES"/>
        </w:rPr>
        <w:t xml:space="preserve">ejercicio económico </w:t>
      </w:r>
      <w:r w:rsidRPr="009D1B2C">
        <w:rPr>
          <w:rFonts w:eastAsiaTheme="minorEastAsia" w:cstheme="minorBidi"/>
          <w:i/>
          <w:szCs w:val="22"/>
          <w:lang w:val="es-ES"/>
        </w:rPr>
        <w:t>2024-2027</w:t>
      </w:r>
      <w:bookmarkEnd w:id="12"/>
      <w:bookmarkEnd w:id="13"/>
    </w:p>
    <w:p w14:paraId="6079B758" w14:textId="47E754E2"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lang w:val="es-ES"/>
        </w:rPr>
        <w:t xml:space="preserve">Racionalización de los costos indirectos. En 2022 se inició un análisis detallado de las actividades administrativas realizadas con fondos del presupuesto ordinario y se seguirá examinando con el fin de determinar y cuantificar los costos indirectos relacionados con la </w:t>
      </w:r>
      <w:r w:rsidRPr="009D1B2C">
        <w:rPr>
          <w:lang w:val="es-ES"/>
        </w:rPr>
        <w:lastRenderedPageBreak/>
        <w:t>gestión de los fondos extrapresupuestarios y reasignar formalmente esos costos que se financiarán con cargo a la Cuenta Especial para los Gastos de Apoyo a los Programas</w:t>
      </w:r>
      <w:r w:rsidR="006B7525" w:rsidRPr="003C3066">
        <w:rPr>
          <w:rFonts w:eastAsiaTheme="minorHAnsi" w:cstheme="minorBidi"/>
          <w:vertAlign w:val="superscript"/>
        </w:rPr>
        <w:footnoteReference w:id="4"/>
      </w:r>
      <w:r w:rsidRPr="009D1B2C">
        <w:rPr>
          <w:lang w:val="es-ES"/>
        </w:rPr>
        <w:t xml:space="preserve">. Este proceso eliminará la carga de esos costos con cargo al presupuesto ordinario y reducirá aún más los costos administrativos durante el </w:t>
      </w:r>
      <w:r w:rsidR="00C15699">
        <w:rPr>
          <w:lang w:val="es-ES"/>
        </w:rPr>
        <w:t>ejercicio económico</w:t>
      </w:r>
      <w:r w:rsidRPr="009D1B2C">
        <w:rPr>
          <w:lang w:val="es-ES"/>
        </w:rPr>
        <w:t xml:space="preserve"> 2024-2027. Se estima que la reasignación de la financiación de esas actividades con cargo al presupuesto ordinario dará lugar a economías adicionales durante el </w:t>
      </w:r>
      <w:r w:rsidR="00C15699">
        <w:rPr>
          <w:lang w:val="es-ES"/>
        </w:rPr>
        <w:t>ejercicio económico</w:t>
      </w:r>
      <w:r w:rsidRPr="009D1B2C">
        <w:rPr>
          <w:lang w:val="es-ES"/>
        </w:rPr>
        <w:t xml:space="preserve"> 2024-2027 de aproximadamente 3,8 millones de francos suizos.</w:t>
      </w:r>
    </w:p>
    <w:p w14:paraId="387B90F2" w14:textId="4270ED3D"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i/>
          <w:iCs/>
          <w:lang w:val="es-ES"/>
        </w:rPr>
        <w:t>Ahorros administrativos adicionales</w:t>
      </w:r>
      <w:r w:rsidRPr="009D1B2C">
        <w:rPr>
          <w:rFonts w:eastAsiaTheme="minorHAnsi" w:cstheme="minorBidi"/>
          <w:lang w:val="es-ES"/>
        </w:rPr>
        <w:t xml:space="preserve">. Como parte del examen continuo de la eficiencia, la Secretaría pudo determinar nuevas oportunidades de reducción administrativa, en particular en lo que respecta a los costos de personal, mediante la redefinición de los puestos administrativos en relación con las actividades programáticas como parte del examen continuo de los procesos administrativos y las necesidades de personal. Se estima que ese ahorro en funciones administrativas asciende aproximadamente a 2 millones de francos suizos para el </w:t>
      </w:r>
      <w:r w:rsidR="00472AE3">
        <w:rPr>
          <w:rFonts w:eastAsiaTheme="minorHAnsi" w:cstheme="minorBidi"/>
          <w:lang w:val="es-ES"/>
        </w:rPr>
        <w:t>ejercicio económico</w:t>
      </w:r>
      <w:r w:rsidRPr="009D1B2C">
        <w:rPr>
          <w:rFonts w:eastAsiaTheme="minorHAnsi" w:cstheme="minorBidi"/>
          <w:lang w:val="es-ES"/>
        </w:rPr>
        <w:t xml:space="preserve"> 2024-2027, en comparación con el </w:t>
      </w:r>
      <w:r w:rsidR="00472AE3">
        <w:rPr>
          <w:rFonts w:eastAsiaTheme="minorHAnsi" w:cstheme="minorBidi"/>
          <w:lang w:val="es-ES"/>
        </w:rPr>
        <w:t>ejercicio económico</w:t>
      </w:r>
      <w:r w:rsidRPr="009D1B2C">
        <w:rPr>
          <w:rFonts w:eastAsiaTheme="minorHAnsi" w:cstheme="minorBidi"/>
          <w:lang w:val="es-ES"/>
        </w:rPr>
        <w:t xml:space="preserve"> 2020-2023.</w:t>
      </w:r>
    </w:p>
    <w:p w14:paraId="777475EB"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eastAsia="zh-CN"/>
        </w:rPr>
      </w:pPr>
      <w:bookmarkStart w:id="14" w:name="_Toc121390462"/>
      <w:r w:rsidRPr="003C3066">
        <w:rPr>
          <w:rFonts w:eastAsiaTheme="majorEastAsia" w:cstheme="majorBidi"/>
          <w:b/>
        </w:rPr>
        <w:t>Análisis por objeto de gasto</w:t>
      </w:r>
      <w:bookmarkEnd w:id="14"/>
    </w:p>
    <w:p w14:paraId="49DCA8B0" w14:textId="0611493C"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También se ha elaborado un análisis por objeto de gasto para cada escenario de gasto máximo. En el cuadro 8 se indican los tipos de gastos que se prevé incurrir en la propuesta del Secretario General y el escenario de crecimiento nominal cero. Los montos del cuadro se consideran indicativos durante esta fase de planificación y se perfeccionarán aún más, lo que podría dar lugar a reclasificación durante los procesos de planificación bienal y anual.</w:t>
      </w:r>
    </w:p>
    <w:p w14:paraId="6FECAD5F" w14:textId="281B7C4E" w:rsidR="00D028ED" w:rsidRPr="009D1B2C" w:rsidRDefault="00D028ED" w:rsidP="00481243">
      <w:pPr>
        <w:tabs>
          <w:tab w:val="clear" w:pos="1134"/>
        </w:tabs>
        <w:spacing w:after="200" w:line="276" w:lineRule="auto"/>
        <w:jc w:val="center"/>
        <w:rPr>
          <w:rFonts w:eastAsia="MS Mincho" w:cs="Times New Roman"/>
          <w:szCs w:val="22"/>
          <w:lang w:val="es-ES" w:eastAsia="zh-TW"/>
        </w:rPr>
      </w:pPr>
      <w:r w:rsidRPr="009D1B2C">
        <w:rPr>
          <w:rFonts w:eastAsiaTheme="minorEastAsia" w:cstheme="minorBidi"/>
          <w:b/>
          <w:szCs w:val="22"/>
          <w:lang w:val="es-ES"/>
        </w:rPr>
        <w:t>Cuadro 8</w:t>
      </w:r>
      <w:r w:rsidRPr="009D1B2C">
        <w:rPr>
          <w:rFonts w:eastAsiaTheme="minorEastAsia" w:cstheme="minorBidi"/>
          <w:i/>
          <w:szCs w:val="22"/>
          <w:lang w:val="es-ES"/>
        </w:rPr>
        <w:br/>
      </w:r>
      <w:r w:rsidRPr="009D1B2C">
        <w:rPr>
          <w:rFonts w:eastAsiaTheme="minorEastAsia" w:cstheme="minorBidi"/>
          <w:b/>
          <w:szCs w:val="22"/>
          <w:lang w:val="es-ES"/>
        </w:rPr>
        <w:t>Análisis del objeto de gasto</w:t>
      </w:r>
      <w:r w:rsidRPr="009D1B2C">
        <w:rPr>
          <w:rFonts w:eastAsiaTheme="minorEastAsia" w:cstheme="minorBidi"/>
          <w:b/>
          <w:szCs w:val="22"/>
          <w:lang w:val="es-ES"/>
        </w:rPr>
        <w:br/>
      </w:r>
      <w:r w:rsidRPr="009D1B2C">
        <w:rPr>
          <w:rFonts w:eastAsiaTheme="minorEastAsia" w:cstheme="minorBidi"/>
          <w:i/>
          <w:szCs w:val="22"/>
          <w:lang w:val="es-ES"/>
        </w:rPr>
        <w:t>(Montos en miles de francos suizos)</w:t>
      </w:r>
      <w:r w:rsidRPr="009D1B2C">
        <w:rPr>
          <w:rFonts w:eastAsiaTheme="minorEastAsia" w:cstheme="minorBidi"/>
          <w:noProof/>
          <w:szCs w:val="22"/>
          <w:lang w:val="es-ES"/>
        </w:rPr>
        <w:t xml:space="preserve"> LINK Excel.Sheet.12 "https://wmoomm.sharepoint.com/sites/GS-Finance/Shared%20Documents/Finance/Budget/2024-2027/TABLE%20FOR%20DOCUMENT.xlsx" "table 8!R2C1:R15C13" \a \f 4 \h  \* MERGEFORMAT</w:t>
      </w:r>
    </w:p>
    <w:tbl>
      <w:tblPr>
        <w:tblW w:w="4827" w:type="pct"/>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1013"/>
        <w:gridCol w:w="1015"/>
        <w:gridCol w:w="1202"/>
        <w:gridCol w:w="932"/>
        <w:gridCol w:w="1131"/>
        <w:gridCol w:w="934"/>
        <w:gridCol w:w="1130"/>
        <w:gridCol w:w="934"/>
        <w:gridCol w:w="1014"/>
      </w:tblGrid>
      <w:tr w:rsidR="00D028ED" w:rsidRPr="003C3066" w14:paraId="4A644D77" w14:textId="77777777" w:rsidTr="00642968">
        <w:trPr>
          <w:trHeight w:val="263"/>
        </w:trPr>
        <w:tc>
          <w:tcPr>
            <w:tcW w:w="1735" w:type="pct"/>
            <w:gridSpan w:val="3"/>
            <w:vMerge w:val="restart"/>
            <w:shd w:val="clear" w:color="auto" w:fill="F2F2F2" w:themeFill="background1" w:themeFillShade="F2"/>
            <w:noWrap/>
            <w:vAlign w:val="center"/>
          </w:tcPr>
          <w:p w14:paraId="65C419AF" w14:textId="77777777" w:rsidR="00D028ED" w:rsidRPr="003C3066" w:rsidRDefault="00D028ED" w:rsidP="00D028ED">
            <w:pPr>
              <w:tabs>
                <w:tab w:val="clear" w:pos="1134"/>
                <w:tab w:val="left" w:pos="1418"/>
              </w:tabs>
              <w:spacing w:before="100" w:after="100"/>
              <w:jc w:val="left"/>
              <w:rPr>
                <w:rFonts w:eastAsia="Times New Roman" w:cs="Calibri"/>
                <w:b/>
                <w:bCs/>
                <w:color w:val="000000"/>
                <w:sz w:val="16"/>
                <w:szCs w:val="16"/>
                <w:lang w:eastAsia="zh-CN"/>
              </w:rPr>
            </w:pPr>
            <w:r w:rsidRPr="003C3066">
              <w:rPr>
                <w:rFonts w:eastAsia="Times New Roman" w:cs="Calibri"/>
                <w:b/>
                <w:color w:val="000000"/>
                <w:sz w:val="16"/>
                <w:szCs w:val="16"/>
              </w:rPr>
              <w:t>Objeto de gasto</w:t>
            </w:r>
          </w:p>
        </w:tc>
        <w:tc>
          <w:tcPr>
            <w:tcW w:w="501" w:type="pct"/>
            <w:shd w:val="clear" w:color="auto" w:fill="F2F2F2" w:themeFill="background1" w:themeFillShade="F2"/>
            <w:noWrap/>
            <w:vAlign w:val="bottom"/>
          </w:tcPr>
          <w:p w14:paraId="2F1A384D"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p>
        </w:tc>
        <w:tc>
          <w:tcPr>
            <w:tcW w:w="1110" w:type="pct"/>
            <w:gridSpan w:val="2"/>
            <w:shd w:val="clear" w:color="auto" w:fill="F2F2F2" w:themeFill="background1" w:themeFillShade="F2"/>
            <w:vAlign w:val="center"/>
          </w:tcPr>
          <w:p w14:paraId="1BEEA0C4" w14:textId="77777777" w:rsidR="00D028ED" w:rsidRPr="003C3066" w:rsidRDefault="00D028ED" w:rsidP="00D028ED">
            <w:pPr>
              <w:tabs>
                <w:tab w:val="clear" w:pos="1134"/>
                <w:tab w:val="left" w:pos="1418"/>
              </w:tabs>
              <w:spacing w:before="100" w:after="100"/>
              <w:jc w:val="center"/>
              <w:rPr>
                <w:rFonts w:eastAsia="Times New Roman" w:cs="Calibri"/>
                <w:b/>
                <w:bCs/>
                <w:i/>
                <w:iCs/>
                <w:color w:val="000000"/>
                <w:sz w:val="16"/>
                <w:szCs w:val="16"/>
                <w:lang w:eastAsia="zh-CN"/>
              </w:rPr>
            </w:pPr>
            <w:r w:rsidRPr="003C3066">
              <w:rPr>
                <w:rFonts w:eastAsia="Times New Roman" w:cs="Calibri"/>
                <w:b/>
                <w:i/>
                <w:color w:val="000000"/>
                <w:sz w:val="16"/>
                <w:szCs w:val="16"/>
              </w:rPr>
              <w:t>Propuesta del Secretario General</w:t>
            </w:r>
          </w:p>
        </w:tc>
        <w:tc>
          <w:tcPr>
            <w:tcW w:w="1109" w:type="pct"/>
            <w:gridSpan w:val="2"/>
            <w:shd w:val="clear" w:color="auto" w:fill="F2F2F2" w:themeFill="background1" w:themeFillShade="F2"/>
            <w:vAlign w:val="center"/>
          </w:tcPr>
          <w:p w14:paraId="2C9A3AEC" w14:textId="77777777" w:rsidR="00D028ED" w:rsidRPr="003C3066" w:rsidRDefault="00D028ED" w:rsidP="00D028ED">
            <w:pPr>
              <w:tabs>
                <w:tab w:val="clear" w:pos="1134"/>
                <w:tab w:val="left" w:pos="1418"/>
              </w:tabs>
              <w:spacing w:before="100" w:after="100"/>
              <w:jc w:val="center"/>
              <w:rPr>
                <w:rFonts w:eastAsia="Times New Roman" w:cs="Calibri"/>
                <w:b/>
                <w:bCs/>
                <w:i/>
                <w:iCs/>
                <w:color w:val="000000"/>
                <w:sz w:val="16"/>
                <w:szCs w:val="16"/>
                <w:lang w:eastAsia="zh-CN"/>
              </w:rPr>
            </w:pPr>
            <w:r w:rsidRPr="003C3066">
              <w:rPr>
                <w:rFonts w:eastAsia="Times New Roman" w:cs="Calibri"/>
                <w:b/>
                <w:i/>
                <w:color w:val="000000"/>
                <w:sz w:val="16"/>
                <w:szCs w:val="16"/>
              </w:rPr>
              <w:t>Crecimiento nominal nominal (ZNG)</w:t>
            </w:r>
          </w:p>
        </w:tc>
        <w:tc>
          <w:tcPr>
            <w:tcW w:w="546" w:type="pct"/>
            <w:vMerge w:val="restart"/>
            <w:shd w:val="clear" w:color="auto" w:fill="F2F2F2" w:themeFill="background1" w:themeFillShade="F2"/>
            <w:vAlign w:val="center"/>
          </w:tcPr>
          <w:p w14:paraId="33D340A8" w14:textId="77777777" w:rsidR="00D028ED" w:rsidRPr="003C3066" w:rsidRDefault="00D028ED" w:rsidP="00D028ED">
            <w:pPr>
              <w:tabs>
                <w:tab w:val="clear" w:pos="1134"/>
                <w:tab w:val="left" w:pos="1418"/>
              </w:tabs>
              <w:spacing w:before="100" w:after="100"/>
              <w:jc w:val="left"/>
              <w:rPr>
                <w:rFonts w:eastAsia="Times New Roman" w:cs="Calibri"/>
                <w:b/>
                <w:bCs/>
                <w:i/>
                <w:iCs/>
                <w:color w:val="000000"/>
                <w:sz w:val="16"/>
                <w:szCs w:val="16"/>
              </w:rPr>
            </w:pPr>
            <w:r w:rsidRPr="00C569B3">
              <w:rPr>
                <w:b/>
                <w:i/>
                <w:sz w:val="16"/>
                <w:szCs w:val="16"/>
              </w:rPr>
              <w:t>Varianza</w:t>
            </w:r>
          </w:p>
        </w:tc>
      </w:tr>
      <w:tr w:rsidR="00D028ED" w:rsidRPr="003C3066" w14:paraId="575D7CE1" w14:textId="77777777" w:rsidTr="00642968">
        <w:trPr>
          <w:trHeight w:val="263"/>
        </w:trPr>
        <w:tc>
          <w:tcPr>
            <w:tcW w:w="1735" w:type="pct"/>
            <w:gridSpan w:val="3"/>
            <w:vMerge/>
            <w:shd w:val="clear" w:color="000000" w:fill="FFFFFF"/>
            <w:noWrap/>
            <w:vAlign w:val="bottom"/>
            <w:hideMark/>
          </w:tcPr>
          <w:p w14:paraId="04FC9F4F"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p>
        </w:tc>
        <w:tc>
          <w:tcPr>
            <w:tcW w:w="501" w:type="pct"/>
            <w:shd w:val="clear" w:color="auto" w:fill="F2F2F2" w:themeFill="background1" w:themeFillShade="F2"/>
            <w:noWrap/>
            <w:vAlign w:val="bottom"/>
            <w:hideMark/>
          </w:tcPr>
          <w:p w14:paraId="6A783B57"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608" w:type="pct"/>
            <w:shd w:val="clear" w:color="auto" w:fill="F2F2F2" w:themeFill="background1" w:themeFillShade="F2"/>
            <w:vAlign w:val="center"/>
            <w:hideMark/>
          </w:tcPr>
          <w:p w14:paraId="218967CD" w14:textId="77777777" w:rsidR="00D028ED" w:rsidRPr="003C3066" w:rsidRDefault="00D028ED" w:rsidP="00D028ED">
            <w:pPr>
              <w:tabs>
                <w:tab w:val="clear" w:pos="1134"/>
                <w:tab w:val="left" w:pos="1418"/>
              </w:tabs>
              <w:spacing w:before="100" w:after="100"/>
              <w:jc w:val="center"/>
              <w:rPr>
                <w:rFonts w:eastAsia="Times New Roman" w:cs="Calibri"/>
                <w:b/>
                <w:bCs/>
                <w:i/>
                <w:iCs/>
                <w:color w:val="000000"/>
                <w:sz w:val="16"/>
                <w:szCs w:val="16"/>
              </w:rPr>
            </w:pPr>
            <w:r>
              <w:rPr>
                <w:b/>
                <w:i/>
              </w:rPr>
              <w:t>Monto</w:t>
            </w:r>
          </w:p>
        </w:tc>
        <w:tc>
          <w:tcPr>
            <w:tcW w:w="502" w:type="pct"/>
            <w:shd w:val="clear" w:color="auto" w:fill="F2F2F2" w:themeFill="background1" w:themeFillShade="F2"/>
            <w:vAlign w:val="center"/>
            <w:hideMark/>
          </w:tcPr>
          <w:p w14:paraId="2F5FEC3B" w14:textId="77777777" w:rsidR="00D028ED" w:rsidRPr="003C3066" w:rsidRDefault="00D028ED" w:rsidP="00D028ED">
            <w:pPr>
              <w:tabs>
                <w:tab w:val="clear" w:pos="1134"/>
                <w:tab w:val="left" w:pos="1418"/>
              </w:tabs>
              <w:spacing w:before="100" w:after="100"/>
              <w:jc w:val="center"/>
              <w:rPr>
                <w:rFonts w:eastAsia="Times New Roman" w:cs="Calibri"/>
                <w:b/>
                <w:bCs/>
                <w:i/>
                <w:iCs/>
                <w:color w:val="000000"/>
                <w:sz w:val="16"/>
                <w:szCs w:val="16"/>
                <w:lang w:eastAsia="zh-CN"/>
              </w:rPr>
            </w:pPr>
            <w:r w:rsidRPr="003C3066">
              <w:rPr>
                <w:rFonts w:eastAsia="Times New Roman" w:cs="Calibri"/>
                <w:b/>
                <w:i/>
                <w:color w:val="000000"/>
                <w:sz w:val="16"/>
                <w:szCs w:val="16"/>
              </w:rPr>
              <w:t>%</w:t>
            </w:r>
          </w:p>
        </w:tc>
        <w:tc>
          <w:tcPr>
            <w:tcW w:w="607" w:type="pct"/>
            <w:shd w:val="clear" w:color="auto" w:fill="F2F2F2" w:themeFill="background1" w:themeFillShade="F2"/>
            <w:vAlign w:val="center"/>
            <w:hideMark/>
          </w:tcPr>
          <w:p w14:paraId="0DF65539" w14:textId="77777777" w:rsidR="00D028ED" w:rsidRPr="003C3066" w:rsidRDefault="00D028ED" w:rsidP="00D028ED">
            <w:pPr>
              <w:tabs>
                <w:tab w:val="clear" w:pos="1134"/>
                <w:tab w:val="left" w:pos="1418"/>
              </w:tabs>
              <w:spacing w:before="100" w:after="100"/>
              <w:jc w:val="center"/>
              <w:rPr>
                <w:rFonts w:eastAsia="Times New Roman" w:cs="Calibri"/>
                <w:b/>
                <w:bCs/>
                <w:i/>
                <w:iCs/>
                <w:color w:val="000000"/>
                <w:sz w:val="16"/>
                <w:szCs w:val="16"/>
              </w:rPr>
            </w:pPr>
            <w:r>
              <w:rPr>
                <w:b/>
                <w:i/>
              </w:rPr>
              <w:t>Monto</w:t>
            </w:r>
          </w:p>
        </w:tc>
        <w:tc>
          <w:tcPr>
            <w:tcW w:w="502" w:type="pct"/>
            <w:shd w:val="clear" w:color="auto" w:fill="F2F2F2" w:themeFill="background1" w:themeFillShade="F2"/>
            <w:vAlign w:val="center"/>
            <w:hideMark/>
          </w:tcPr>
          <w:p w14:paraId="3E30319E" w14:textId="77777777" w:rsidR="00D028ED" w:rsidRPr="003C3066" w:rsidRDefault="00D028ED" w:rsidP="00D028ED">
            <w:pPr>
              <w:tabs>
                <w:tab w:val="clear" w:pos="1134"/>
                <w:tab w:val="left" w:pos="1418"/>
              </w:tabs>
              <w:spacing w:before="100" w:after="100"/>
              <w:jc w:val="center"/>
              <w:rPr>
                <w:rFonts w:eastAsia="Times New Roman" w:cs="Calibri"/>
                <w:b/>
                <w:bCs/>
                <w:i/>
                <w:iCs/>
                <w:color w:val="000000"/>
                <w:sz w:val="16"/>
                <w:szCs w:val="16"/>
                <w:lang w:eastAsia="zh-CN"/>
              </w:rPr>
            </w:pPr>
            <w:r w:rsidRPr="003C3066">
              <w:rPr>
                <w:rFonts w:eastAsia="Times New Roman" w:cs="Calibri"/>
                <w:b/>
                <w:i/>
                <w:color w:val="000000"/>
                <w:sz w:val="16"/>
                <w:szCs w:val="16"/>
              </w:rPr>
              <w:t>%</w:t>
            </w:r>
          </w:p>
        </w:tc>
        <w:tc>
          <w:tcPr>
            <w:tcW w:w="546" w:type="pct"/>
            <w:vMerge/>
            <w:vAlign w:val="center"/>
            <w:hideMark/>
          </w:tcPr>
          <w:p w14:paraId="59EC3FEE" w14:textId="77777777" w:rsidR="00D028ED" w:rsidRPr="003C3066" w:rsidRDefault="00D028ED" w:rsidP="00D028ED">
            <w:pPr>
              <w:tabs>
                <w:tab w:val="clear" w:pos="1134"/>
                <w:tab w:val="left" w:pos="1418"/>
              </w:tabs>
              <w:spacing w:before="100" w:after="100"/>
              <w:jc w:val="left"/>
              <w:rPr>
                <w:rFonts w:eastAsia="Times New Roman" w:cs="Calibri"/>
                <w:b/>
                <w:bCs/>
                <w:i/>
                <w:iCs/>
                <w:color w:val="000000"/>
                <w:sz w:val="16"/>
                <w:szCs w:val="16"/>
                <w:lang w:eastAsia="zh-CN"/>
              </w:rPr>
            </w:pPr>
          </w:p>
        </w:tc>
      </w:tr>
      <w:tr w:rsidR="00D028ED" w:rsidRPr="003C3066" w14:paraId="1DE32519" w14:textId="77777777" w:rsidTr="00642968">
        <w:trPr>
          <w:trHeight w:val="254"/>
        </w:trPr>
        <w:tc>
          <w:tcPr>
            <w:tcW w:w="544" w:type="pct"/>
            <w:shd w:val="clear" w:color="000000" w:fill="FFFFFF"/>
            <w:noWrap/>
            <w:vAlign w:val="bottom"/>
            <w:hideMark/>
          </w:tcPr>
          <w:p w14:paraId="388CA166" w14:textId="77777777" w:rsidR="00D028ED" w:rsidRPr="003C3066" w:rsidRDefault="00D028ED" w:rsidP="00D028ED">
            <w:pPr>
              <w:tabs>
                <w:tab w:val="clear" w:pos="1134"/>
                <w:tab w:val="left" w:pos="1418"/>
              </w:tabs>
              <w:spacing w:before="100" w:after="100"/>
              <w:jc w:val="center"/>
              <w:rPr>
                <w:rFonts w:eastAsia="Times New Roman" w:cs="Calibri"/>
                <w:color w:val="000000"/>
                <w:sz w:val="4"/>
                <w:szCs w:val="4"/>
                <w:lang w:eastAsia="zh-CN"/>
              </w:rPr>
            </w:pPr>
            <w:r w:rsidRPr="003C3066">
              <w:rPr>
                <w:rFonts w:eastAsia="Times New Roman" w:cs="Calibri"/>
                <w:color w:val="000000"/>
                <w:sz w:val="4"/>
                <w:szCs w:val="4"/>
              </w:rPr>
              <w:t> </w:t>
            </w:r>
          </w:p>
        </w:tc>
        <w:tc>
          <w:tcPr>
            <w:tcW w:w="545" w:type="pct"/>
            <w:shd w:val="clear" w:color="000000" w:fill="FFFFFF"/>
            <w:noWrap/>
            <w:vAlign w:val="bottom"/>
            <w:hideMark/>
          </w:tcPr>
          <w:p w14:paraId="0618A1D9" w14:textId="77777777" w:rsidR="00D028ED" w:rsidRPr="003C3066" w:rsidRDefault="00D028ED" w:rsidP="00D028ED">
            <w:pPr>
              <w:tabs>
                <w:tab w:val="clear" w:pos="1134"/>
                <w:tab w:val="left" w:pos="1418"/>
              </w:tabs>
              <w:spacing w:before="100" w:after="100"/>
              <w:jc w:val="center"/>
              <w:rPr>
                <w:rFonts w:eastAsia="Times New Roman" w:cs="Calibri"/>
                <w:color w:val="000000"/>
                <w:sz w:val="4"/>
                <w:szCs w:val="4"/>
                <w:lang w:eastAsia="zh-CN"/>
              </w:rPr>
            </w:pPr>
            <w:r w:rsidRPr="003C3066">
              <w:rPr>
                <w:rFonts w:eastAsia="Times New Roman" w:cs="Calibri"/>
                <w:color w:val="000000"/>
                <w:sz w:val="4"/>
                <w:szCs w:val="4"/>
              </w:rPr>
              <w:t> </w:t>
            </w:r>
          </w:p>
        </w:tc>
        <w:tc>
          <w:tcPr>
            <w:tcW w:w="645" w:type="pct"/>
            <w:shd w:val="clear" w:color="000000" w:fill="FFFFFF"/>
            <w:noWrap/>
            <w:vAlign w:val="bottom"/>
            <w:hideMark/>
          </w:tcPr>
          <w:p w14:paraId="7A05A27F"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501" w:type="pct"/>
            <w:shd w:val="clear" w:color="000000" w:fill="FFFFFF"/>
            <w:noWrap/>
            <w:vAlign w:val="bottom"/>
            <w:hideMark/>
          </w:tcPr>
          <w:p w14:paraId="4537E9D5"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608" w:type="pct"/>
            <w:shd w:val="clear" w:color="000000" w:fill="FFFFFF"/>
            <w:noWrap/>
            <w:vAlign w:val="center"/>
            <w:hideMark/>
          </w:tcPr>
          <w:p w14:paraId="0D12686C"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c>
          <w:tcPr>
            <w:tcW w:w="502" w:type="pct"/>
            <w:shd w:val="clear" w:color="000000" w:fill="FFFFFF"/>
            <w:noWrap/>
            <w:vAlign w:val="center"/>
            <w:hideMark/>
          </w:tcPr>
          <w:p w14:paraId="163CBB1F"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c>
          <w:tcPr>
            <w:tcW w:w="607" w:type="pct"/>
            <w:shd w:val="clear" w:color="000000" w:fill="FFFFFF"/>
            <w:noWrap/>
            <w:vAlign w:val="center"/>
            <w:hideMark/>
          </w:tcPr>
          <w:p w14:paraId="32E35D78"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c>
          <w:tcPr>
            <w:tcW w:w="502" w:type="pct"/>
            <w:shd w:val="clear" w:color="000000" w:fill="FFFFFF"/>
            <w:noWrap/>
            <w:vAlign w:val="center"/>
            <w:hideMark/>
          </w:tcPr>
          <w:p w14:paraId="578589D4"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c>
          <w:tcPr>
            <w:tcW w:w="546" w:type="pct"/>
            <w:shd w:val="clear" w:color="000000" w:fill="FFFFFF"/>
            <w:noWrap/>
            <w:vAlign w:val="center"/>
            <w:hideMark/>
          </w:tcPr>
          <w:p w14:paraId="39055D90"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57D0EC25" w14:textId="77777777" w:rsidTr="00642968">
        <w:trPr>
          <w:trHeight w:val="254"/>
        </w:trPr>
        <w:tc>
          <w:tcPr>
            <w:tcW w:w="1089" w:type="pct"/>
            <w:gridSpan w:val="2"/>
            <w:shd w:val="clear" w:color="000000" w:fill="FFFFFF"/>
            <w:noWrap/>
            <w:vAlign w:val="bottom"/>
            <w:hideMark/>
          </w:tcPr>
          <w:p w14:paraId="2E12E402"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rPr>
            </w:pPr>
            <w:r>
              <w:t>a) Gastos de personal</w:t>
            </w:r>
          </w:p>
        </w:tc>
        <w:tc>
          <w:tcPr>
            <w:tcW w:w="645" w:type="pct"/>
            <w:shd w:val="clear" w:color="000000" w:fill="FFFFFF"/>
            <w:noWrap/>
            <w:vAlign w:val="bottom"/>
            <w:hideMark/>
          </w:tcPr>
          <w:p w14:paraId="25C1F5D9"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501" w:type="pct"/>
            <w:shd w:val="clear" w:color="000000" w:fill="FFFFFF"/>
            <w:noWrap/>
            <w:vAlign w:val="bottom"/>
            <w:hideMark/>
          </w:tcPr>
          <w:p w14:paraId="1D01467F"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608" w:type="pct"/>
            <w:shd w:val="clear" w:color="000000" w:fill="FFFFFF"/>
            <w:noWrap/>
            <w:vAlign w:val="center"/>
            <w:hideMark/>
          </w:tcPr>
          <w:p w14:paraId="54FA469C" w14:textId="2F47E6C8"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208</w:t>
            </w:r>
            <w:r w:rsidR="0060774C">
              <w:t xml:space="preserve"> </w:t>
            </w:r>
            <w:r>
              <w:t xml:space="preserve">944,1 </w:t>
            </w:r>
          </w:p>
        </w:tc>
        <w:tc>
          <w:tcPr>
            <w:tcW w:w="502" w:type="pct"/>
            <w:shd w:val="clear" w:color="000000" w:fill="FFFFFF"/>
            <w:noWrap/>
            <w:vAlign w:val="center"/>
            <w:hideMark/>
          </w:tcPr>
          <w:p w14:paraId="2073ABA9" w14:textId="4BD0B787"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72</w:t>
            </w:r>
            <w:r w:rsidR="00322BCC">
              <w:rPr>
                <w:rFonts w:eastAsia="Times New Roman" w:cs="Calibri"/>
                <w:color w:val="000000"/>
                <w:sz w:val="16"/>
                <w:szCs w:val="16"/>
              </w:rPr>
              <w:t>,</w:t>
            </w:r>
            <w:r w:rsidRPr="003C3066">
              <w:rPr>
                <w:rFonts w:eastAsia="Times New Roman" w:cs="Calibri"/>
                <w:color w:val="000000"/>
                <w:sz w:val="16"/>
                <w:szCs w:val="16"/>
              </w:rPr>
              <w:t>0%</w:t>
            </w:r>
          </w:p>
        </w:tc>
        <w:tc>
          <w:tcPr>
            <w:tcW w:w="607" w:type="pct"/>
            <w:shd w:val="clear" w:color="000000" w:fill="FFFFFF"/>
            <w:noWrap/>
            <w:vAlign w:val="center"/>
            <w:hideMark/>
          </w:tcPr>
          <w:p w14:paraId="108D35D5" w14:textId="22EDBBE1"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200</w:t>
            </w:r>
            <w:r w:rsidR="0060774C">
              <w:t xml:space="preserve"> </w:t>
            </w:r>
            <w:r>
              <w:t xml:space="preserve">148,8 </w:t>
            </w:r>
          </w:p>
        </w:tc>
        <w:tc>
          <w:tcPr>
            <w:tcW w:w="502" w:type="pct"/>
            <w:shd w:val="clear" w:color="000000" w:fill="FFFFFF"/>
            <w:noWrap/>
            <w:vAlign w:val="center"/>
            <w:hideMark/>
          </w:tcPr>
          <w:p w14:paraId="1456F224" w14:textId="061A234B"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73</w:t>
            </w:r>
            <w:r w:rsidR="00322BCC">
              <w:rPr>
                <w:rFonts w:eastAsia="Times New Roman" w:cs="Calibri"/>
                <w:color w:val="000000"/>
                <w:sz w:val="16"/>
                <w:szCs w:val="16"/>
              </w:rPr>
              <w:t>,</w:t>
            </w:r>
            <w:r w:rsidRPr="003C3066">
              <w:rPr>
                <w:rFonts w:eastAsia="Times New Roman" w:cs="Calibri"/>
                <w:color w:val="000000"/>
                <w:sz w:val="16"/>
                <w:szCs w:val="16"/>
              </w:rPr>
              <w:t>7%</w:t>
            </w:r>
          </w:p>
        </w:tc>
        <w:tc>
          <w:tcPr>
            <w:tcW w:w="546" w:type="pct"/>
            <w:shd w:val="clear" w:color="000000" w:fill="FFFFFF"/>
            <w:noWrap/>
            <w:vAlign w:val="center"/>
            <w:hideMark/>
          </w:tcPr>
          <w:p w14:paraId="669406AC" w14:textId="57A11294"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8</w:t>
            </w:r>
            <w:r w:rsidR="0060774C">
              <w:t xml:space="preserve"> </w:t>
            </w:r>
            <w:r>
              <w:t xml:space="preserve">795,3 </w:t>
            </w:r>
          </w:p>
        </w:tc>
      </w:tr>
      <w:tr w:rsidR="00D028ED" w:rsidRPr="003C3066" w14:paraId="2B342F04" w14:textId="77777777" w:rsidTr="00642968">
        <w:trPr>
          <w:trHeight w:val="254"/>
        </w:trPr>
        <w:tc>
          <w:tcPr>
            <w:tcW w:w="2235" w:type="pct"/>
            <w:gridSpan w:val="4"/>
            <w:shd w:val="clear" w:color="000000" w:fill="FFFFFF"/>
            <w:noWrap/>
            <w:vAlign w:val="bottom"/>
            <w:hideMark/>
          </w:tcPr>
          <w:p w14:paraId="0500245B" w14:textId="77777777" w:rsidR="00D028ED" w:rsidRPr="009D1B2C" w:rsidRDefault="00D028ED" w:rsidP="00D028ED">
            <w:pPr>
              <w:tabs>
                <w:tab w:val="clear" w:pos="1134"/>
                <w:tab w:val="left" w:pos="1418"/>
              </w:tabs>
              <w:spacing w:before="100" w:after="100"/>
              <w:jc w:val="left"/>
              <w:rPr>
                <w:rFonts w:eastAsia="Times New Roman" w:cs="Calibri"/>
                <w:color w:val="000000"/>
                <w:sz w:val="16"/>
                <w:szCs w:val="16"/>
                <w:lang w:val="es-ES"/>
              </w:rPr>
            </w:pPr>
            <w:r w:rsidRPr="009D1B2C">
              <w:rPr>
                <w:lang w:val="es-ES"/>
              </w:rPr>
              <w:t>b) Personal contratado por períodos breves y servicios de consultoría</w:t>
            </w:r>
          </w:p>
        </w:tc>
        <w:tc>
          <w:tcPr>
            <w:tcW w:w="608" w:type="pct"/>
            <w:shd w:val="clear" w:color="000000" w:fill="FFFFFF"/>
            <w:noWrap/>
            <w:vAlign w:val="center"/>
            <w:hideMark/>
          </w:tcPr>
          <w:p w14:paraId="717F7386" w14:textId="4F02007B"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14</w:t>
            </w:r>
            <w:r w:rsidR="0060774C">
              <w:t xml:space="preserve"> </w:t>
            </w:r>
            <w:r>
              <w:t xml:space="preserve">657,3 </w:t>
            </w:r>
          </w:p>
        </w:tc>
        <w:tc>
          <w:tcPr>
            <w:tcW w:w="502" w:type="pct"/>
            <w:shd w:val="clear" w:color="000000" w:fill="FFFFFF"/>
            <w:noWrap/>
            <w:vAlign w:val="center"/>
            <w:hideMark/>
          </w:tcPr>
          <w:p w14:paraId="417FCBEC" w14:textId="363E5A34"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5</w:t>
            </w:r>
            <w:r w:rsidR="00322BCC">
              <w:rPr>
                <w:rFonts w:eastAsia="Times New Roman" w:cs="Calibri"/>
                <w:color w:val="000000"/>
                <w:sz w:val="16"/>
                <w:szCs w:val="16"/>
              </w:rPr>
              <w:t>,</w:t>
            </w:r>
            <w:r w:rsidRPr="003C3066">
              <w:rPr>
                <w:rFonts w:eastAsia="Times New Roman" w:cs="Calibri"/>
                <w:color w:val="000000"/>
                <w:sz w:val="16"/>
                <w:szCs w:val="16"/>
              </w:rPr>
              <w:t>0%</w:t>
            </w:r>
          </w:p>
        </w:tc>
        <w:tc>
          <w:tcPr>
            <w:tcW w:w="607" w:type="pct"/>
            <w:shd w:val="clear" w:color="000000" w:fill="FFFFFF"/>
            <w:noWrap/>
            <w:vAlign w:val="center"/>
            <w:hideMark/>
          </w:tcPr>
          <w:p w14:paraId="5EBEFA78" w14:textId="1E01FFDF"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12</w:t>
            </w:r>
            <w:r w:rsidR="0060774C">
              <w:t xml:space="preserve"> </w:t>
            </w:r>
            <w:r>
              <w:t xml:space="preserve">239,0 </w:t>
            </w:r>
          </w:p>
        </w:tc>
        <w:tc>
          <w:tcPr>
            <w:tcW w:w="502" w:type="pct"/>
            <w:shd w:val="clear" w:color="000000" w:fill="FFFFFF"/>
            <w:noWrap/>
            <w:vAlign w:val="center"/>
            <w:hideMark/>
          </w:tcPr>
          <w:p w14:paraId="5F9BB059" w14:textId="4E702BD6"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4</w:t>
            </w:r>
            <w:r w:rsidR="00DE6505">
              <w:rPr>
                <w:rFonts w:eastAsia="Times New Roman" w:cs="Calibri"/>
                <w:color w:val="000000"/>
                <w:sz w:val="16"/>
                <w:szCs w:val="16"/>
              </w:rPr>
              <w:t>,</w:t>
            </w:r>
            <w:r w:rsidRPr="003C3066">
              <w:rPr>
                <w:rFonts w:eastAsia="Times New Roman" w:cs="Calibri"/>
                <w:color w:val="000000"/>
                <w:sz w:val="16"/>
                <w:szCs w:val="16"/>
              </w:rPr>
              <w:t>5%</w:t>
            </w:r>
          </w:p>
        </w:tc>
        <w:tc>
          <w:tcPr>
            <w:tcW w:w="546" w:type="pct"/>
            <w:shd w:val="clear" w:color="000000" w:fill="FFFFFF"/>
            <w:noWrap/>
            <w:vAlign w:val="center"/>
            <w:hideMark/>
          </w:tcPr>
          <w:p w14:paraId="72C92F9A" w14:textId="1CE96CEE"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w:t>
            </w:r>
            <w:r w:rsidR="0060774C">
              <w:t xml:space="preserve"> </w:t>
            </w:r>
            <w:r>
              <w:t xml:space="preserve">418,3 </w:t>
            </w:r>
          </w:p>
        </w:tc>
      </w:tr>
      <w:tr w:rsidR="00D028ED" w:rsidRPr="003C3066" w14:paraId="3C832321" w14:textId="77777777" w:rsidTr="00642968">
        <w:trPr>
          <w:trHeight w:val="254"/>
        </w:trPr>
        <w:tc>
          <w:tcPr>
            <w:tcW w:w="1089" w:type="pct"/>
            <w:gridSpan w:val="2"/>
            <w:shd w:val="clear" w:color="000000" w:fill="FFFFFF"/>
            <w:noWrap/>
            <w:vAlign w:val="bottom"/>
            <w:hideMark/>
          </w:tcPr>
          <w:p w14:paraId="0BFC80E7" w14:textId="4FCBC79D" w:rsidR="00D028ED" w:rsidRPr="003C3066" w:rsidRDefault="00D028ED" w:rsidP="00D028ED">
            <w:pPr>
              <w:tabs>
                <w:tab w:val="clear" w:pos="1134"/>
                <w:tab w:val="left" w:pos="1418"/>
              </w:tabs>
              <w:spacing w:before="100" w:after="100"/>
              <w:jc w:val="left"/>
              <w:rPr>
                <w:rFonts w:eastAsia="Times New Roman" w:cs="Calibri"/>
                <w:color w:val="000000"/>
                <w:sz w:val="16"/>
                <w:szCs w:val="16"/>
              </w:rPr>
            </w:pPr>
            <w:r>
              <w:t>c) Viajes – Expertos</w:t>
            </w:r>
          </w:p>
        </w:tc>
        <w:tc>
          <w:tcPr>
            <w:tcW w:w="645" w:type="pct"/>
            <w:shd w:val="clear" w:color="000000" w:fill="FFFFFF"/>
            <w:noWrap/>
            <w:vAlign w:val="bottom"/>
            <w:hideMark/>
          </w:tcPr>
          <w:p w14:paraId="70E9C63A"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501" w:type="pct"/>
            <w:shd w:val="clear" w:color="000000" w:fill="FFFFFF"/>
            <w:noWrap/>
            <w:vAlign w:val="bottom"/>
            <w:hideMark/>
          </w:tcPr>
          <w:p w14:paraId="536694A2"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608" w:type="pct"/>
            <w:shd w:val="clear" w:color="000000" w:fill="FFFFFF"/>
            <w:noWrap/>
            <w:vAlign w:val="center"/>
            <w:hideMark/>
          </w:tcPr>
          <w:p w14:paraId="2160E48B" w14:textId="4797C695"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18</w:t>
            </w:r>
            <w:r w:rsidR="0060774C">
              <w:t xml:space="preserve"> </w:t>
            </w:r>
            <w:r>
              <w:t xml:space="preserve">661,5 </w:t>
            </w:r>
          </w:p>
        </w:tc>
        <w:tc>
          <w:tcPr>
            <w:tcW w:w="502" w:type="pct"/>
            <w:shd w:val="clear" w:color="000000" w:fill="FFFFFF"/>
            <w:noWrap/>
            <w:vAlign w:val="center"/>
            <w:hideMark/>
          </w:tcPr>
          <w:p w14:paraId="1D2C6C3C" w14:textId="20E4FF44"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6</w:t>
            </w:r>
            <w:r w:rsidR="00DE6505">
              <w:rPr>
                <w:rFonts w:eastAsia="Times New Roman" w:cs="Calibri"/>
                <w:color w:val="000000"/>
                <w:sz w:val="16"/>
                <w:szCs w:val="16"/>
              </w:rPr>
              <w:t>,</w:t>
            </w:r>
            <w:r w:rsidRPr="003C3066">
              <w:rPr>
                <w:rFonts w:eastAsia="Times New Roman" w:cs="Calibri"/>
                <w:color w:val="000000"/>
                <w:sz w:val="16"/>
                <w:szCs w:val="16"/>
              </w:rPr>
              <w:t>4%</w:t>
            </w:r>
          </w:p>
        </w:tc>
        <w:tc>
          <w:tcPr>
            <w:tcW w:w="607" w:type="pct"/>
            <w:shd w:val="clear" w:color="000000" w:fill="FFFFFF"/>
            <w:noWrap/>
            <w:vAlign w:val="center"/>
            <w:hideMark/>
          </w:tcPr>
          <w:p w14:paraId="4C40F511" w14:textId="2B0021CA"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15</w:t>
            </w:r>
            <w:r w:rsidR="0060774C">
              <w:t xml:space="preserve"> </w:t>
            </w:r>
            <w:r>
              <w:t xml:space="preserve">931,7 </w:t>
            </w:r>
          </w:p>
        </w:tc>
        <w:tc>
          <w:tcPr>
            <w:tcW w:w="502" w:type="pct"/>
            <w:shd w:val="clear" w:color="000000" w:fill="FFFFFF"/>
            <w:noWrap/>
            <w:vAlign w:val="center"/>
            <w:hideMark/>
          </w:tcPr>
          <w:p w14:paraId="73065AA6" w14:textId="027605E6"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5</w:t>
            </w:r>
            <w:r w:rsidR="00DE6505">
              <w:rPr>
                <w:rFonts w:eastAsia="Times New Roman" w:cs="Calibri"/>
                <w:color w:val="000000"/>
                <w:sz w:val="16"/>
                <w:szCs w:val="16"/>
              </w:rPr>
              <w:t>,</w:t>
            </w:r>
            <w:r w:rsidRPr="003C3066">
              <w:rPr>
                <w:rFonts w:eastAsia="Times New Roman" w:cs="Calibri"/>
                <w:color w:val="000000"/>
                <w:sz w:val="16"/>
                <w:szCs w:val="16"/>
              </w:rPr>
              <w:t>9%</w:t>
            </w:r>
          </w:p>
        </w:tc>
        <w:tc>
          <w:tcPr>
            <w:tcW w:w="546" w:type="pct"/>
            <w:shd w:val="clear" w:color="000000" w:fill="FFFFFF"/>
            <w:noWrap/>
            <w:vAlign w:val="center"/>
            <w:hideMark/>
          </w:tcPr>
          <w:p w14:paraId="55D08B76" w14:textId="447AECC6"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w:t>
            </w:r>
            <w:r w:rsidR="00DE6505">
              <w:t xml:space="preserve"> </w:t>
            </w:r>
            <w:r>
              <w:t xml:space="preserve">729,8 </w:t>
            </w:r>
          </w:p>
        </w:tc>
      </w:tr>
      <w:tr w:rsidR="00D028ED" w:rsidRPr="003C3066" w14:paraId="7983B9DB" w14:textId="77777777" w:rsidTr="00642968">
        <w:trPr>
          <w:trHeight w:val="254"/>
        </w:trPr>
        <w:tc>
          <w:tcPr>
            <w:tcW w:w="1089" w:type="pct"/>
            <w:gridSpan w:val="2"/>
            <w:shd w:val="clear" w:color="000000" w:fill="FFFFFF"/>
            <w:noWrap/>
            <w:vAlign w:val="bottom"/>
            <w:hideMark/>
          </w:tcPr>
          <w:p w14:paraId="0DE78D19" w14:textId="73161970" w:rsidR="00D028ED" w:rsidRPr="003C3066" w:rsidRDefault="00D028ED" w:rsidP="00D028ED">
            <w:pPr>
              <w:tabs>
                <w:tab w:val="clear" w:pos="1134"/>
                <w:tab w:val="left" w:pos="1418"/>
              </w:tabs>
              <w:spacing w:before="100" w:after="100"/>
              <w:jc w:val="left"/>
              <w:rPr>
                <w:rFonts w:eastAsia="Times New Roman" w:cs="Calibri"/>
                <w:color w:val="000000"/>
                <w:sz w:val="16"/>
                <w:szCs w:val="16"/>
              </w:rPr>
            </w:pPr>
            <w:r>
              <w:t>d) Viajes – Personal</w:t>
            </w:r>
          </w:p>
        </w:tc>
        <w:tc>
          <w:tcPr>
            <w:tcW w:w="645" w:type="pct"/>
            <w:shd w:val="clear" w:color="000000" w:fill="FFFFFF"/>
            <w:noWrap/>
            <w:vAlign w:val="bottom"/>
            <w:hideMark/>
          </w:tcPr>
          <w:p w14:paraId="071C9EF9"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501" w:type="pct"/>
            <w:shd w:val="clear" w:color="000000" w:fill="FFFFFF"/>
            <w:noWrap/>
            <w:vAlign w:val="bottom"/>
            <w:hideMark/>
          </w:tcPr>
          <w:p w14:paraId="700B7458"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608" w:type="pct"/>
            <w:shd w:val="clear" w:color="000000" w:fill="FFFFFF"/>
            <w:noWrap/>
            <w:vAlign w:val="center"/>
            <w:hideMark/>
          </w:tcPr>
          <w:p w14:paraId="027B5586" w14:textId="622237D6"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4</w:t>
            </w:r>
            <w:r w:rsidR="00DE6505">
              <w:t xml:space="preserve"> </w:t>
            </w:r>
            <w:r>
              <w:t xml:space="preserve">737,4 </w:t>
            </w:r>
          </w:p>
        </w:tc>
        <w:tc>
          <w:tcPr>
            <w:tcW w:w="502" w:type="pct"/>
            <w:shd w:val="clear" w:color="000000" w:fill="FFFFFF"/>
            <w:noWrap/>
            <w:vAlign w:val="center"/>
            <w:hideMark/>
          </w:tcPr>
          <w:p w14:paraId="508CAB67" w14:textId="01526B53"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1</w:t>
            </w:r>
            <w:r w:rsidR="00DE6505">
              <w:rPr>
                <w:rFonts w:eastAsia="Times New Roman" w:cs="Calibri"/>
                <w:color w:val="000000"/>
                <w:sz w:val="16"/>
                <w:szCs w:val="16"/>
              </w:rPr>
              <w:t>,</w:t>
            </w:r>
            <w:r w:rsidRPr="003C3066">
              <w:rPr>
                <w:rFonts w:eastAsia="Times New Roman" w:cs="Calibri"/>
                <w:color w:val="000000"/>
                <w:sz w:val="16"/>
                <w:szCs w:val="16"/>
              </w:rPr>
              <w:t>6%</w:t>
            </w:r>
          </w:p>
        </w:tc>
        <w:tc>
          <w:tcPr>
            <w:tcW w:w="607" w:type="pct"/>
            <w:shd w:val="clear" w:color="000000" w:fill="FFFFFF"/>
            <w:noWrap/>
            <w:vAlign w:val="center"/>
            <w:hideMark/>
          </w:tcPr>
          <w:p w14:paraId="3F987153" w14:textId="684733FA"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4</w:t>
            </w:r>
            <w:r w:rsidR="00DE6505">
              <w:t xml:space="preserve"> </w:t>
            </w:r>
            <w:r>
              <w:t xml:space="preserve">345,1 </w:t>
            </w:r>
          </w:p>
        </w:tc>
        <w:tc>
          <w:tcPr>
            <w:tcW w:w="502" w:type="pct"/>
            <w:shd w:val="clear" w:color="000000" w:fill="FFFFFF"/>
            <w:noWrap/>
            <w:vAlign w:val="center"/>
            <w:hideMark/>
          </w:tcPr>
          <w:p w14:paraId="56406500" w14:textId="730072DF"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1</w:t>
            </w:r>
            <w:r w:rsidR="00DE6505">
              <w:rPr>
                <w:rFonts w:eastAsia="Times New Roman" w:cs="Calibri"/>
                <w:color w:val="000000"/>
                <w:sz w:val="16"/>
                <w:szCs w:val="16"/>
              </w:rPr>
              <w:t>,</w:t>
            </w:r>
            <w:r w:rsidRPr="003C3066">
              <w:rPr>
                <w:rFonts w:eastAsia="Times New Roman" w:cs="Calibri"/>
                <w:color w:val="000000"/>
                <w:sz w:val="16"/>
                <w:szCs w:val="16"/>
              </w:rPr>
              <w:t>6%</w:t>
            </w:r>
          </w:p>
        </w:tc>
        <w:tc>
          <w:tcPr>
            <w:tcW w:w="546" w:type="pct"/>
            <w:shd w:val="clear" w:color="000000" w:fill="FFFFFF"/>
            <w:noWrap/>
            <w:vAlign w:val="center"/>
            <w:hideMark/>
          </w:tcPr>
          <w:p w14:paraId="7F6FA7C2" w14:textId="77777777"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392,3</w:t>
            </w:r>
          </w:p>
        </w:tc>
      </w:tr>
      <w:tr w:rsidR="00D028ED" w:rsidRPr="003C3066" w14:paraId="368ED643" w14:textId="77777777" w:rsidTr="00642968">
        <w:trPr>
          <w:trHeight w:val="254"/>
        </w:trPr>
        <w:tc>
          <w:tcPr>
            <w:tcW w:w="1735" w:type="pct"/>
            <w:gridSpan w:val="3"/>
            <w:shd w:val="clear" w:color="000000" w:fill="FFFFFF"/>
            <w:noWrap/>
            <w:vAlign w:val="bottom"/>
            <w:hideMark/>
          </w:tcPr>
          <w:p w14:paraId="4D7DF47A" w14:textId="77777777" w:rsidR="00D028ED" w:rsidRPr="009D1B2C" w:rsidRDefault="00D028ED" w:rsidP="00D028ED">
            <w:pPr>
              <w:tabs>
                <w:tab w:val="clear" w:pos="1134"/>
                <w:tab w:val="left" w:pos="1418"/>
              </w:tabs>
              <w:spacing w:before="100" w:after="100"/>
              <w:jc w:val="left"/>
              <w:rPr>
                <w:rFonts w:eastAsia="Times New Roman" w:cs="Calibri"/>
                <w:color w:val="000000"/>
                <w:sz w:val="16"/>
                <w:szCs w:val="16"/>
                <w:lang w:val="es-ES"/>
              </w:rPr>
            </w:pPr>
            <w:r w:rsidRPr="009D1B2C">
              <w:rPr>
                <w:lang w:val="es-ES"/>
              </w:rPr>
              <w:t>e) Becas y actividades de formación</w:t>
            </w:r>
          </w:p>
        </w:tc>
        <w:tc>
          <w:tcPr>
            <w:tcW w:w="501" w:type="pct"/>
            <w:shd w:val="clear" w:color="000000" w:fill="FFFFFF"/>
            <w:noWrap/>
            <w:vAlign w:val="bottom"/>
            <w:hideMark/>
          </w:tcPr>
          <w:p w14:paraId="7418D824" w14:textId="77777777" w:rsidR="00D028ED" w:rsidRPr="009D1B2C" w:rsidRDefault="00D028ED" w:rsidP="00D028ED">
            <w:pPr>
              <w:tabs>
                <w:tab w:val="clear" w:pos="1134"/>
                <w:tab w:val="left" w:pos="1418"/>
              </w:tabs>
              <w:spacing w:before="100" w:after="100"/>
              <w:jc w:val="left"/>
              <w:rPr>
                <w:rFonts w:eastAsia="Times New Roman" w:cs="Calibri"/>
                <w:color w:val="000000"/>
                <w:sz w:val="16"/>
                <w:szCs w:val="16"/>
                <w:lang w:val="es-ES" w:eastAsia="zh-CN"/>
              </w:rPr>
            </w:pPr>
            <w:r w:rsidRPr="009D1B2C">
              <w:rPr>
                <w:rFonts w:eastAsia="Times New Roman" w:cs="Calibri"/>
                <w:color w:val="000000"/>
                <w:sz w:val="16"/>
                <w:szCs w:val="16"/>
                <w:lang w:val="es-ES"/>
              </w:rPr>
              <w:t> </w:t>
            </w:r>
          </w:p>
        </w:tc>
        <w:tc>
          <w:tcPr>
            <w:tcW w:w="608" w:type="pct"/>
            <w:shd w:val="clear" w:color="000000" w:fill="FFFFFF"/>
            <w:noWrap/>
            <w:vAlign w:val="center"/>
            <w:hideMark/>
          </w:tcPr>
          <w:p w14:paraId="7828C586" w14:textId="0C856EA9"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w:t>
            </w:r>
            <w:r w:rsidR="00DE6505">
              <w:t xml:space="preserve"> </w:t>
            </w:r>
            <w:r>
              <w:t xml:space="preserve">999,6 </w:t>
            </w:r>
          </w:p>
        </w:tc>
        <w:tc>
          <w:tcPr>
            <w:tcW w:w="502" w:type="pct"/>
            <w:shd w:val="clear" w:color="000000" w:fill="FFFFFF"/>
            <w:noWrap/>
            <w:vAlign w:val="center"/>
            <w:hideMark/>
          </w:tcPr>
          <w:p w14:paraId="4F2EADF9" w14:textId="5675D2BD"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1</w:t>
            </w:r>
            <w:r w:rsidR="00DE6505">
              <w:rPr>
                <w:rFonts w:eastAsia="Times New Roman" w:cs="Calibri"/>
                <w:color w:val="000000"/>
                <w:sz w:val="16"/>
                <w:szCs w:val="16"/>
              </w:rPr>
              <w:t>,</w:t>
            </w:r>
            <w:r w:rsidRPr="003C3066">
              <w:rPr>
                <w:rFonts w:eastAsia="Times New Roman" w:cs="Calibri"/>
                <w:color w:val="000000"/>
                <w:sz w:val="16"/>
                <w:szCs w:val="16"/>
              </w:rPr>
              <w:t>0%</w:t>
            </w:r>
          </w:p>
        </w:tc>
        <w:tc>
          <w:tcPr>
            <w:tcW w:w="607" w:type="pct"/>
            <w:shd w:val="clear" w:color="000000" w:fill="FFFFFF"/>
            <w:noWrap/>
            <w:vAlign w:val="center"/>
            <w:hideMark/>
          </w:tcPr>
          <w:p w14:paraId="4CD512E1" w14:textId="22DB1628"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w:t>
            </w:r>
            <w:r w:rsidR="00DE6505">
              <w:t xml:space="preserve"> </w:t>
            </w:r>
            <w:r>
              <w:t xml:space="preserve">843,9 </w:t>
            </w:r>
          </w:p>
        </w:tc>
        <w:tc>
          <w:tcPr>
            <w:tcW w:w="502" w:type="pct"/>
            <w:shd w:val="clear" w:color="000000" w:fill="FFFFFF"/>
            <w:noWrap/>
            <w:vAlign w:val="center"/>
            <w:hideMark/>
          </w:tcPr>
          <w:p w14:paraId="25423162" w14:textId="4069042C"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1</w:t>
            </w:r>
            <w:r w:rsidR="00DE6505">
              <w:rPr>
                <w:rFonts w:eastAsia="Times New Roman" w:cs="Calibri"/>
                <w:color w:val="000000"/>
                <w:sz w:val="16"/>
                <w:szCs w:val="16"/>
              </w:rPr>
              <w:t>,</w:t>
            </w:r>
            <w:r w:rsidRPr="003C3066">
              <w:rPr>
                <w:rFonts w:eastAsia="Times New Roman" w:cs="Calibri"/>
                <w:color w:val="000000"/>
                <w:sz w:val="16"/>
                <w:szCs w:val="16"/>
              </w:rPr>
              <w:t>0%</w:t>
            </w:r>
          </w:p>
        </w:tc>
        <w:tc>
          <w:tcPr>
            <w:tcW w:w="546" w:type="pct"/>
            <w:shd w:val="clear" w:color="000000" w:fill="FFFFFF"/>
            <w:noWrap/>
            <w:vAlign w:val="center"/>
            <w:hideMark/>
          </w:tcPr>
          <w:p w14:paraId="776D48CD" w14:textId="77777777"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155,7</w:t>
            </w:r>
          </w:p>
        </w:tc>
      </w:tr>
      <w:tr w:rsidR="00D028ED" w:rsidRPr="003C3066" w14:paraId="202C4354" w14:textId="77777777" w:rsidTr="00642968">
        <w:trPr>
          <w:trHeight w:val="254"/>
        </w:trPr>
        <w:tc>
          <w:tcPr>
            <w:tcW w:w="1735" w:type="pct"/>
            <w:gridSpan w:val="3"/>
            <w:shd w:val="clear" w:color="000000" w:fill="FFFFFF"/>
            <w:noWrap/>
            <w:vAlign w:val="bottom"/>
            <w:hideMark/>
          </w:tcPr>
          <w:p w14:paraId="20BE907F" w14:textId="77777777" w:rsidR="00D028ED" w:rsidRPr="009D1B2C" w:rsidRDefault="00D028ED" w:rsidP="00D028ED">
            <w:pPr>
              <w:tabs>
                <w:tab w:val="clear" w:pos="1134"/>
                <w:tab w:val="left" w:pos="1418"/>
              </w:tabs>
              <w:spacing w:before="100" w:after="100"/>
              <w:jc w:val="left"/>
              <w:rPr>
                <w:rFonts w:eastAsia="Times New Roman" w:cs="Calibri"/>
                <w:color w:val="000000"/>
                <w:sz w:val="16"/>
                <w:szCs w:val="16"/>
                <w:lang w:val="es-ES"/>
              </w:rPr>
            </w:pPr>
            <w:r w:rsidRPr="009D1B2C">
              <w:rPr>
                <w:lang w:val="es-ES"/>
              </w:rPr>
              <w:lastRenderedPageBreak/>
              <w:t>f) Subvenciones y contribuciones financieras</w:t>
            </w:r>
          </w:p>
        </w:tc>
        <w:tc>
          <w:tcPr>
            <w:tcW w:w="501" w:type="pct"/>
            <w:shd w:val="clear" w:color="000000" w:fill="FFFFFF"/>
            <w:noWrap/>
            <w:vAlign w:val="bottom"/>
            <w:hideMark/>
          </w:tcPr>
          <w:p w14:paraId="49BA2EE7" w14:textId="77777777" w:rsidR="00D028ED" w:rsidRPr="009D1B2C" w:rsidRDefault="00D028ED" w:rsidP="00D028ED">
            <w:pPr>
              <w:tabs>
                <w:tab w:val="clear" w:pos="1134"/>
                <w:tab w:val="left" w:pos="1418"/>
              </w:tabs>
              <w:spacing w:before="100" w:after="100"/>
              <w:jc w:val="left"/>
              <w:rPr>
                <w:rFonts w:eastAsia="Times New Roman" w:cs="Calibri"/>
                <w:color w:val="000000"/>
                <w:sz w:val="16"/>
                <w:szCs w:val="16"/>
                <w:lang w:val="es-ES" w:eastAsia="zh-CN"/>
              </w:rPr>
            </w:pPr>
            <w:r w:rsidRPr="009D1B2C">
              <w:rPr>
                <w:rFonts w:eastAsia="Times New Roman" w:cs="Calibri"/>
                <w:color w:val="000000"/>
                <w:sz w:val="16"/>
                <w:szCs w:val="16"/>
                <w:lang w:val="es-ES"/>
              </w:rPr>
              <w:t> </w:t>
            </w:r>
          </w:p>
        </w:tc>
        <w:tc>
          <w:tcPr>
            <w:tcW w:w="608" w:type="pct"/>
            <w:shd w:val="clear" w:color="000000" w:fill="FFFFFF"/>
            <w:noWrap/>
            <w:vAlign w:val="center"/>
            <w:hideMark/>
          </w:tcPr>
          <w:p w14:paraId="06A63ACC" w14:textId="44FBFEBD"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5</w:t>
            </w:r>
            <w:r w:rsidR="00FC1E32">
              <w:t xml:space="preserve"> </w:t>
            </w:r>
            <w:r>
              <w:t xml:space="preserve">847,4 </w:t>
            </w:r>
          </w:p>
        </w:tc>
        <w:tc>
          <w:tcPr>
            <w:tcW w:w="502" w:type="pct"/>
            <w:shd w:val="clear" w:color="000000" w:fill="FFFFFF"/>
            <w:noWrap/>
            <w:vAlign w:val="center"/>
            <w:hideMark/>
          </w:tcPr>
          <w:p w14:paraId="322A66A6" w14:textId="4AA479B1"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2</w:t>
            </w:r>
            <w:r w:rsidR="00FC1E32">
              <w:rPr>
                <w:rFonts w:eastAsia="Times New Roman" w:cs="Calibri"/>
                <w:color w:val="000000"/>
                <w:sz w:val="16"/>
                <w:szCs w:val="16"/>
              </w:rPr>
              <w:t>,</w:t>
            </w:r>
            <w:r w:rsidRPr="003C3066">
              <w:rPr>
                <w:rFonts w:eastAsia="Times New Roman" w:cs="Calibri"/>
                <w:color w:val="000000"/>
                <w:sz w:val="16"/>
                <w:szCs w:val="16"/>
              </w:rPr>
              <w:t>0%</w:t>
            </w:r>
          </w:p>
        </w:tc>
        <w:tc>
          <w:tcPr>
            <w:tcW w:w="607" w:type="pct"/>
            <w:shd w:val="clear" w:color="000000" w:fill="FFFFFF"/>
            <w:noWrap/>
            <w:vAlign w:val="center"/>
            <w:hideMark/>
          </w:tcPr>
          <w:p w14:paraId="1FB0AD2C" w14:textId="1F65DFC5"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5</w:t>
            </w:r>
            <w:r w:rsidR="00FC1E32">
              <w:t xml:space="preserve"> </w:t>
            </w:r>
            <w:r>
              <w:t xml:space="preserve">196,0 </w:t>
            </w:r>
          </w:p>
        </w:tc>
        <w:tc>
          <w:tcPr>
            <w:tcW w:w="502" w:type="pct"/>
            <w:shd w:val="clear" w:color="000000" w:fill="FFFFFF"/>
            <w:noWrap/>
            <w:vAlign w:val="center"/>
            <w:hideMark/>
          </w:tcPr>
          <w:p w14:paraId="57F033AB" w14:textId="7F3498BA"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1</w:t>
            </w:r>
            <w:r w:rsidR="00FC1E32">
              <w:rPr>
                <w:rFonts w:eastAsia="Times New Roman" w:cs="Calibri"/>
                <w:color w:val="000000"/>
                <w:sz w:val="16"/>
                <w:szCs w:val="16"/>
              </w:rPr>
              <w:t>,</w:t>
            </w:r>
            <w:r w:rsidRPr="003C3066">
              <w:rPr>
                <w:rFonts w:eastAsia="Times New Roman" w:cs="Calibri"/>
                <w:color w:val="000000"/>
                <w:sz w:val="16"/>
                <w:szCs w:val="16"/>
              </w:rPr>
              <w:t>9%</w:t>
            </w:r>
          </w:p>
        </w:tc>
        <w:tc>
          <w:tcPr>
            <w:tcW w:w="546" w:type="pct"/>
            <w:shd w:val="clear" w:color="000000" w:fill="FFFFFF"/>
            <w:noWrap/>
            <w:vAlign w:val="center"/>
            <w:hideMark/>
          </w:tcPr>
          <w:p w14:paraId="34FB1A49" w14:textId="77777777"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 xml:space="preserve">651,4 </w:t>
            </w:r>
          </w:p>
        </w:tc>
      </w:tr>
      <w:tr w:rsidR="00D028ED" w:rsidRPr="003C3066" w14:paraId="52E636AC" w14:textId="77777777" w:rsidTr="00642968">
        <w:trPr>
          <w:trHeight w:val="254"/>
        </w:trPr>
        <w:tc>
          <w:tcPr>
            <w:tcW w:w="2235" w:type="pct"/>
            <w:gridSpan w:val="4"/>
            <w:shd w:val="clear" w:color="000000" w:fill="FFFFFF"/>
            <w:noWrap/>
            <w:vAlign w:val="bottom"/>
            <w:hideMark/>
          </w:tcPr>
          <w:p w14:paraId="5D1FBB11" w14:textId="77777777" w:rsidR="00D028ED" w:rsidRPr="009D1B2C" w:rsidRDefault="00D028ED" w:rsidP="00D028ED">
            <w:pPr>
              <w:tabs>
                <w:tab w:val="clear" w:pos="1134"/>
                <w:tab w:val="left" w:pos="1418"/>
              </w:tabs>
              <w:spacing w:before="100" w:after="100"/>
              <w:jc w:val="left"/>
              <w:rPr>
                <w:rFonts w:eastAsia="Times New Roman" w:cs="Calibri"/>
                <w:color w:val="000000"/>
                <w:sz w:val="16"/>
                <w:szCs w:val="16"/>
                <w:lang w:val="es-ES"/>
              </w:rPr>
            </w:pPr>
            <w:r w:rsidRPr="009D1B2C">
              <w:rPr>
                <w:lang w:val="es-ES"/>
              </w:rPr>
              <w:t>g) Servicios contractuales y gastos de funcionamiento</w:t>
            </w:r>
          </w:p>
        </w:tc>
        <w:tc>
          <w:tcPr>
            <w:tcW w:w="608" w:type="pct"/>
            <w:shd w:val="clear" w:color="000000" w:fill="FFFFFF"/>
            <w:noWrap/>
            <w:vAlign w:val="center"/>
            <w:hideMark/>
          </w:tcPr>
          <w:p w14:paraId="255854F1" w14:textId="287E0336"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28</w:t>
            </w:r>
            <w:r w:rsidR="00FC1E32">
              <w:t xml:space="preserve"> </w:t>
            </w:r>
            <w:r>
              <w:t xml:space="preserve">639,9 </w:t>
            </w:r>
          </w:p>
        </w:tc>
        <w:tc>
          <w:tcPr>
            <w:tcW w:w="502" w:type="pct"/>
            <w:shd w:val="clear" w:color="000000" w:fill="FFFFFF"/>
            <w:noWrap/>
            <w:vAlign w:val="center"/>
            <w:hideMark/>
          </w:tcPr>
          <w:p w14:paraId="48BF6C41" w14:textId="19D8CE05"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9</w:t>
            </w:r>
            <w:r w:rsidR="00FC1E32">
              <w:rPr>
                <w:rFonts w:eastAsia="Times New Roman" w:cs="Calibri"/>
                <w:color w:val="000000"/>
                <w:sz w:val="16"/>
                <w:szCs w:val="16"/>
              </w:rPr>
              <w:t>,</w:t>
            </w:r>
            <w:r w:rsidRPr="003C3066">
              <w:rPr>
                <w:rFonts w:eastAsia="Times New Roman" w:cs="Calibri"/>
                <w:color w:val="000000"/>
                <w:sz w:val="16"/>
                <w:szCs w:val="16"/>
              </w:rPr>
              <w:t>9%</w:t>
            </w:r>
          </w:p>
        </w:tc>
        <w:tc>
          <w:tcPr>
            <w:tcW w:w="607" w:type="pct"/>
            <w:shd w:val="clear" w:color="000000" w:fill="FFFFFF"/>
            <w:noWrap/>
            <w:vAlign w:val="center"/>
            <w:hideMark/>
          </w:tcPr>
          <w:p w14:paraId="72A8D71F" w14:textId="7DAF9925"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24</w:t>
            </w:r>
            <w:r w:rsidR="00FC1E32">
              <w:t xml:space="preserve"> </w:t>
            </w:r>
            <w:r>
              <w:t xml:space="preserve">930,7 </w:t>
            </w:r>
          </w:p>
        </w:tc>
        <w:tc>
          <w:tcPr>
            <w:tcW w:w="502" w:type="pct"/>
            <w:shd w:val="clear" w:color="000000" w:fill="FFFFFF"/>
            <w:noWrap/>
            <w:vAlign w:val="center"/>
            <w:hideMark/>
          </w:tcPr>
          <w:p w14:paraId="5251B47A" w14:textId="29EB1C0A"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9</w:t>
            </w:r>
            <w:r w:rsidR="00FC1E32">
              <w:rPr>
                <w:rFonts w:eastAsia="Times New Roman" w:cs="Calibri"/>
                <w:color w:val="000000"/>
                <w:sz w:val="16"/>
                <w:szCs w:val="16"/>
              </w:rPr>
              <w:t>,</w:t>
            </w:r>
            <w:r w:rsidRPr="003C3066">
              <w:rPr>
                <w:rFonts w:eastAsia="Times New Roman" w:cs="Calibri"/>
                <w:color w:val="000000"/>
                <w:sz w:val="16"/>
                <w:szCs w:val="16"/>
              </w:rPr>
              <w:t>2%</w:t>
            </w:r>
          </w:p>
        </w:tc>
        <w:tc>
          <w:tcPr>
            <w:tcW w:w="546" w:type="pct"/>
            <w:shd w:val="clear" w:color="000000" w:fill="FFFFFF"/>
            <w:noWrap/>
            <w:vAlign w:val="center"/>
            <w:hideMark/>
          </w:tcPr>
          <w:p w14:paraId="23857BAC" w14:textId="6FB0FD12"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3</w:t>
            </w:r>
            <w:r w:rsidR="00FC1E32">
              <w:t xml:space="preserve"> </w:t>
            </w:r>
            <w:r>
              <w:t xml:space="preserve">709,2 </w:t>
            </w:r>
          </w:p>
        </w:tc>
      </w:tr>
      <w:tr w:rsidR="00D028ED" w:rsidRPr="003C3066" w14:paraId="1336E44C" w14:textId="77777777" w:rsidTr="00642968">
        <w:trPr>
          <w:trHeight w:val="254"/>
        </w:trPr>
        <w:tc>
          <w:tcPr>
            <w:tcW w:w="2235" w:type="pct"/>
            <w:gridSpan w:val="4"/>
            <w:shd w:val="clear" w:color="000000" w:fill="FFFFFF"/>
            <w:noWrap/>
            <w:vAlign w:val="bottom"/>
            <w:hideMark/>
          </w:tcPr>
          <w:p w14:paraId="64CC3F5F" w14:textId="77777777" w:rsidR="00D028ED" w:rsidRPr="009D1B2C" w:rsidRDefault="00D028ED" w:rsidP="00D028ED">
            <w:pPr>
              <w:tabs>
                <w:tab w:val="clear" w:pos="1134"/>
                <w:tab w:val="left" w:pos="1418"/>
              </w:tabs>
              <w:spacing w:before="100" w:after="100"/>
              <w:jc w:val="left"/>
              <w:rPr>
                <w:rFonts w:eastAsia="Times New Roman" w:cs="Calibri"/>
                <w:color w:val="000000"/>
                <w:sz w:val="16"/>
                <w:szCs w:val="16"/>
                <w:lang w:val="es-ES"/>
              </w:rPr>
            </w:pPr>
            <w:r w:rsidRPr="009D1B2C">
              <w:rPr>
                <w:lang w:val="es-ES"/>
              </w:rPr>
              <w:t>h) Reembolso del préstamo para el edificio de la sede de la OMM</w:t>
            </w:r>
          </w:p>
        </w:tc>
        <w:tc>
          <w:tcPr>
            <w:tcW w:w="608" w:type="pct"/>
            <w:shd w:val="clear" w:color="000000" w:fill="FFFFFF"/>
            <w:noWrap/>
            <w:vAlign w:val="center"/>
            <w:hideMark/>
          </w:tcPr>
          <w:p w14:paraId="0AA80604" w14:textId="5FF528A4"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5</w:t>
            </w:r>
            <w:r w:rsidR="00FC1E32">
              <w:t xml:space="preserve"> </w:t>
            </w:r>
            <w:r>
              <w:t xml:space="preserve">909,2 </w:t>
            </w:r>
          </w:p>
        </w:tc>
        <w:tc>
          <w:tcPr>
            <w:tcW w:w="502" w:type="pct"/>
            <w:shd w:val="clear" w:color="000000" w:fill="FFFFFF"/>
            <w:noWrap/>
            <w:vAlign w:val="center"/>
            <w:hideMark/>
          </w:tcPr>
          <w:p w14:paraId="6AFB8D82" w14:textId="33D0DC94"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2</w:t>
            </w:r>
            <w:r w:rsidR="00FC1E32">
              <w:rPr>
                <w:rFonts w:eastAsia="Times New Roman" w:cs="Calibri"/>
                <w:color w:val="000000"/>
                <w:sz w:val="16"/>
                <w:szCs w:val="16"/>
              </w:rPr>
              <w:t>,</w:t>
            </w:r>
            <w:r w:rsidRPr="003C3066">
              <w:rPr>
                <w:rFonts w:eastAsia="Times New Roman" w:cs="Calibri"/>
                <w:color w:val="000000"/>
                <w:sz w:val="16"/>
                <w:szCs w:val="16"/>
              </w:rPr>
              <w:t>0%</w:t>
            </w:r>
          </w:p>
        </w:tc>
        <w:tc>
          <w:tcPr>
            <w:tcW w:w="607" w:type="pct"/>
            <w:shd w:val="clear" w:color="000000" w:fill="FFFFFF"/>
            <w:noWrap/>
            <w:vAlign w:val="center"/>
            <w:hideMark/>
          </w:tcPr>
          <w:p w14:paraId="4F70AE0F" w14:textId="2E701D12" w:rsidR="00D028ED" w:rsidRPr="003C3066" w:rsidRDefault="00D028ED" w:rsidP="00D028ED">
            <w:pPr>
              <w:tabs>
                <w:tab w:val="clear" w:pos="1134"/>
                <w:tab w:val="left" w:pos="1418"/>
              </w:tabs>
              <w:spacing w:before="100" w:after="100"/>
              <w:jc w:val="right"/>
              <w:rPr>
                <w:rFonts w:eastAsia="Times New Roman" w:cs="Calibri"/>
                <w:color w:val="000000"/>
                <w:sz w:val="16"/>
                <w:szCs w:val="16"/>
              </w:rPr>
            </w:pPr>
            <w:r>
              <w:t>5</w:t>
            </w:r>
            <w:r w:rsidR="00FC1E32">
              <w:t xml:space="preserve"> </w:t>
            </w:r>
            <w:r>
              <w:t xml:space="preserve">909,2 </w:t>
            </w:r>
          </w:p>
        </w:tc>
        <w:tc>
          <w:tcPr>
            <w:tcW w:w="502" w:type="pct"/>
            <w:shd w:val="clear" w:color="000000" w:fill="FFFFFF"/>
            <w:noWrap/>
            <w:vAlign w:val="center"/>
            <w:hideMark/>
          </w:tcPr>
          <w:p w14:paraId="30D25CC7" w14:textId="1955A5D0"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2</w:t>
            </w:r>
            <w:r w:rsidR="00FC1E32">
              <w:rPr>
                <w:rFonts w:eastAsia="Times New Roman" w:cs="Calibri"/>
                <w:color w:val="000000"/>
                <w:sz w:val="16"/>
                <w:szCs w:val="16"/>
              </w:rPr>
              <w:t>,</w:t>
            </w:r>
            <w:r w:rsidRPr="003C3066">
              <w:rPr>
                <w:rFonts w:eastAsia="Times New Roman" w:cs="Calibri"/>
                <w:color w:val="000000"/>
                <w:sz w:val="16"/>
                <w:szCs w:val="16"/>
              </w:rPr>
              <w:t>2%</w:t>
            </w:r>
          </w:p>
        </w:tc>
        <w:tc>
          <w:tcPr>
            <w:tcW w:w="546" w:type="pct"/>
            <w:shd w:val="clear" w:color="000000" w:fill="FFFFFF"/>
            <w:noWrap/>
            <w:vAlign w:val="center"/>
            <w:hideMark/>
          </w:tcPr>
          <w:p w14:paraId="113E0447" w14:textId="77777777" w:rsidR="00D028ED" w:rsidRPr="003C3066" w:rsidRDefault="00D028ED" w:rsidP="00D028ED">
            <w:pPr>
              <w:tabs>
                <w:tab w:val="clear" w:pos="1134"/>
                <w:tab w:val="left" w:pos="1418"/>
              </w:tabs>
              <w:spacing w:before="100" w:after="100"/>
              <w:jc w:val="right"/>
              <w:rPr>
                <w:rFonts w:eastAsia="Times New Roman" w:cs="Calibri"/>
                <w:color w:val="000000"/>
                <w:sz w:val="16"/>
                <w:szCs w:val="16"/>
                <w:lang w:eastAsia="zh-CN"/>
              </w:rPr>
            </w:pPr>
            <w:r w:rsidRPr="003C3066">
              <w:rPr>
                <w:rFonts w:eastAsia="Times New Roman" w:cs="Calibri"/>
                <w:color w:val="000000"/>
                <w:sz w:val="16"/>
                <w:szCs w:val="16"/>
              </w:rPr>
              <w:t>-</w:t>
            </w:r>
          </w:p>
        </w:tc>
      </w:tr>
      <w:tr w:rsidR="00D028ED" w:rsidRPr="003C3066" w14:paraId="6A08290F" w14:textId="77777777" w:rsidTr="00642968">
        <w:trPr>
          <w:trHeight w:val="184"/>
        </w:trPr>
        <w:tc>
          <w:tcPr>
            <w:tcW w:w="544" w:type="pct"/>
            <w:tcBorders>
              <w:bottom w:val="single" w:sz="4" w:space="0" w:color="auto"/>
            </w:tcBorders>
            <w:shd w:val="clear" w:color="000000" w:fill="FFFFFF"/>
            <w:noWrap/>
            <w:vAlign w:val="bottom"/>
            <w:hideMark/>
          </w:tcPr>
          <w:p w14:paraId="3BE0FC8B"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545" w:type="pct"/>
            <w:tcBorders>
              <w:bottom w:val="single" w:sz="4" w:space="0" w:color="auto"/>
            </w:tcBorders>
            <w:shd w:val="clear" w:color="000000" w:fill="FFFFFF"/>
            <w:noWrap/>
            <w:vAlign w:val="bottom"/>
            <w:hideMark/>
          </w:tcPr>
          <w:p w14:paraId="41453E88"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645" w:type="pct"/>
            <w:tcBorders>
              <w:bottom w:val="single" w:sz="4" w:space="0" w:color="auto"/>
            </w:tcBorders>
            <w:shd w:val="clear" w:color="000000" w:fill="FFFFFF"/>
            <w:noWrap/>
            <w:vAlign w:val="bottom"/>
            <w:hideMark/>
          </w:tcPr>
          <w:p w14:paraId="187CBFAD"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501" w:type="pct"/>
            <w:tcBorders>
              <w:bottom w:val="single" w:sz="4" w:space="0" w:color="auto"/>
            </w:tcBorders>
            <w:shd w:val="clear" w:color="000000" w:fill="FFFFFF"/>
            <w:noWrap/>
            <w:vAlign w:val="bottom"/>
            <w:hideMark/>
          </w:tcPr>
          <w:p w14:paraId="04D20247"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608" w:type="pct"/>
            <w:tcBorders>
              <w:bottom w:val="single" w:sz="4" w:space="0" w:color="auto"/>
            </w:tcBorders>
            <w:shd w:val="clear" w:color="000000" w:fill="FFFFFF"/>
            <w:noWrap/>
            <w:vAlign w:val="center"/>
            <w:hideMark/>
          </w:tcPr>
          <w:p w14:paraId="07AE1AA3" w14:textId="77777777" w:rsidR="00D028ED" w:rsidRPr="003C3066" w:rsidRDefault="00D028ED" w:rsidP="00D028ED">
            <w:pPr>
              <w:tabs>
                <w:tab w:val="clear" w:pos="1134"/>
                <w:tab w:val="left" w:pos="1418"/>
              </w:tabs>
              <w:spacing w:before="100" w:after="100"/>
              <w:jc w:val="center"/>
              <w:rPr>
                <w:rFonts w:eastAsia="Times New Roman" w:cs="Calibri"/>
                <w:color w:val="000000"/>
                <w:sz w:val="4"/>
                <w:szCs w:val="4"/>
                <w:lang w:eastAsia="zh-CN"/>
              </w:rPr>
            </w:pPr>
            <w:r w:rsidRPr="003C3066">
              <w:rPr>
                <w:rFonts w:eastAsia="Times New Roman" w:cs="Calibri"/>
                <w:color w:val="000000"/>
                <w:sz w:val="4"/>
                <w:szCs w:val="4"/>
              </w:rPr>
              <w:t> </w:t>
            </w:r>
          </w:p>
        </w:tc>
        <w:tc>
          <w:tcPr>
            <w:tcW w:w="502" w:type="pct"/>
            <w:tcBorders>
              <w:bottom w:val="single" w:sz="4" w:space="0" w:color="auto"/>
            </w:tcBorders>
            <w:shd w:val="clear" w:color="000000" w:fill="FFFFFF"/>
            <w:noWrap/>
            <w:vAlign w:val="center"/>
            <w:hideMark/>
          </w:tcPr>
          <w:p w14:paraId="3D40A593" w14:textId="77777777" w:rsidR="00D028ED" w:rsidRPr="003C3066" w:rsidRDefault="00D028ED" w:rsidP="00D028ED">
            <w:pPr>
              <w:tabs>
                <w:tab w:val="clear" w:pos="1134"/>
                <w:tab w:val="left" w:pos="1418"/>
              </w:tabs>
              <w:spacing w:before="100" w:after="100"/>
              <w:jc w:val="center"/>
              <w:rPr>
                <w:rFonts w:eastAsia="Times New Roman" w:cs="Calibri"/>
                <w:color w:val="000000"/>
                <w:sz w:val="4"/>
                <w:szCs w:val="4"/>
                <w:lang w:eastAsia="zh-CN"/>
              </w:rPr>
            </w:pPr>
            <w:r w:rsidRPr="003C3066">
              <w:rPr>
                <w:rFonts w:eastAsia="Times New Roman" w:cs="Calibri"/>
                <w:color w:val="000000"/>
                <w:sz w:val="4"/>
                <w:szCs w:val="4"/>
              </w:rPr>
              <w:t> </w:t>
            </w:r>
          </w:p>
        </w:tc>
        <w:tc>
          <w:tcPr>
            <w:tcW w:w="607" w:type="pct"/>
            <w:tcBorders>
              <w:bottom w:val="single" w:sz="4" w:space="0" w:color="auto"/>
            </w:tcBorders>
            <w:shd w:val="clear" w:color="000000" w:fill="FFFFFF"/>
            <w:noWrap/>
            <w:vAlign w:val="bottom"/>
            <w:hideMark/>
          </w:tcPr>
          <w:p w14:paraId="741CC161"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502" w:type="pct"/>
            <w:tcBorders>
              <w:bottom w:val="single" w:sz="4" w:space="0" w:color="auto"/>
            </w:tcBorders>
            <w:shd w:val="clear" w:color="000000" w:fill="FFFFFF"/>
            <w:noWrap/>
            <w:vAlign w:val="bottom"/>
            <w:hideMark/>
          </w:tcPr>
          <w:p w14:paraId="0E33A34C"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546" w:type="pct"/>
            <w:tcBorders>
              <w:bottom w:val="single" w:sz="4" w:space="0" w:color="auto"/>
            </w:tcBorders>
            <w:shd w:val="clear" w:color="000000" w:fill="FFFFFF"/>
            <w:noWrap/>
            <w:vAlign w:val="bottom"/>
            <w:hideMark/>
          </w:tcPr>
          <w:p w14:paraId="6E0C543A" w14:textId="77777777" w:rsidR="00D028ED" w:rsidRPr="003C3066" w:rsidRDefault="00D028ED" w:rsidP="00D028ED">
            <w:pPr>
              <w:tabs>
                <w:tab w:val="clear" w:pos="1134"/>
                <w:tab w:val="left" w:pos="1418"/>
              </w:tabs>
              <w:spacing w:before="100" w:after="100"/>
              <w:jc w:val="lef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61098AF3" w14:textId="77777777" w:rsidTr="00642968">
        <w:trPr>
          <w:trHeight w:val="254"/>
        </w:trPr>
        <w:tc>
          <w:tcPr>
            <w:tcW w:w="544" w:type="pct"/>
            <w:tcBorders>
              <w:top w:val="single" w:sz="4" w:space="0" w:color="auto"/>
              <w:bottom w:val="single" w:sz="4" w:space="0" w:color="auto"/>
            </w:tcBorders>
            <w:shd w:val="clear" w:color="000000" w:fill="FFFFFF"/>
            <w:noWrap/>
            <w:vAlign w:val="bottom"/>
            <w:hideMark/>
          </w:tcPr>
          <w:p w14:paraId="561C052E" w14:textId="77777777" w:rsidR="00D028ED" w:rsidRPr="003C3066" w:rsidRDefault="00D028ED" w:rsidP="00D028ED">
            <w:pPr>
              <w:tabs>
                <w:tab w:val="clear" w:pos="1134"/>
                <w:tab w:val="left" w:pos="1418"/>
              </w:tabs>
              <w:spacing w:before="100" w:after="100"/>
              <w:jc w:val="left"/>
              <w:rPr>
                <w:rFonts w:eastAsia="Times New Roman" w:cs="Calibri"/>
                <w:b/>
                <w:bCs/>
                <w:color w:val="000000"/>
                <w:sz w:val="16"/>
                <w:szCs w:val="16"/>
                <w:lang w:eastAsia="zh-CN"/>
              </w:rPr>
            </w:pPr>
            <w:r w:rsidRPr="003C3066">
              <w:rPr>
                <w:rFonts w:eastAsia="Times New Roman" w:cs="Calibri"/>
                <w:b/>
                <w:color w:val="000000"/>
                <w:sz w:val="16"/>
                <w:szCs w:val="16"/>
              </w:rPr>
              <w:t>TOTAL</w:t>
            </w:r>
          </w:p>
        </w:tc>
        <w:tc>
          <w:tcPr>
            <w:tcW w:w="545" w:type="pct"/>
            <w:tcBorders>
              <w:top w:val="single" w:sz="4" w:space="0" w:color="auto"/>
              <w:bottom w:val="single" w:sz="4" w:space="0" w:color="auto"/>
            </w:tcBorders>
            <w:shd w:val="clear" w:color="000000" w:fill="FFFFFF"/>
            <w:noWrap/>
            <w:vAlign w:val="bottom"/>
            <w:hideMark/>
          </w:tcPr>
          <w:p w14:paraId="0BFFA2A9"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645" w:type="pct"/>
            <w:tcBorders>
              <w:top w:val="single" w:sz="4" w:space="0" w:color="auto"/>
              <w:bottom w:val="single" w:sz="4" w:space="0" w:color="auto"/>
            </w:tcBorders>
            <w:shd w:val="clear" w:color="000000" w:fill="FFFFFF"/>
            <w:noWrap/>
            <w:vAlign w:val="bottom"/>
            <w:hideMark/>
          </w:tcPr>
          <w:p w14:paraId="690FE4EA"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501" w:type="pct"/>
            <w:tcBorders>
              <w:top w:val="single" w:sz="4" w:space="0" w:color="auto"/>
              <w:bottom w:val="single" w:sz="4" w:space="0" w:color="auto"/>
            </w:tcBorders>
            <w:shd w:val="clear" w:color="000000" w:fill="FFFFFF"/>
            <w:noWrap/>
            <w:vAlign w:val="bottom"/>
            <w:hideMark/>
          </w:tcPr>
          <w:p w14:paraId="21CDD5B4" w14:textId="77777777" w:rsidR="00D028ED" w:rsidRPr="003C3066" w:rsidRDefault="00D028ED" w:rsidP="00D028ED">
            <w:pPr>
              <w:tabs>
                <w:tab w:val="clear" w:pos="1134"/>
                <w:tab w:val="left" w:pos="1418"/>
              </w:tabs>
              <w:spacing w:before="100" w:after="100"/>
              <w:jc w:val="left"/>
              <w:rPr>
                <w:rFonts w:eastAsia="Times New Roman" w:cs="Calibri"/>
                <w:color w:val="000000"/>
                <w:sz w:val="16"/>
                <w:szCs w:val="16"/>
                <w:lang w:eastAsia="zh-CN"/>
              </w:rPr>
            </w:pPr>
            <w:r w:rsidRPr="003C3066">
              <w:rPr>
                <w:rFonts w:eastAsia="Times New Roman" w:cs="Calibri"/>
                <w:color w:val="000000"/>
                <w:sz w:val="16"/>
                <w:szCs w:val="16"/>
              </w:rPr>
              <w:t> </w:t>
            </w:r>
          </w:p>
        </w:tc>
        <w:tc>
          <w:tcPr>
            <w:tcW w:w="608" w:type="pct"/>
            <w:tcBorders>
              <w:top w:val="single" w:sz="4" w:space="0" w:color="auto"/>
              <w:bottom w:val="single" w:sz="4" w:space="0" w:color="auto"/>
            </w:tcBorders>
            <w:shd w:val="clear" w:color="000000" w:fill="FFFFFF"/>
            <w:noWrap/>
            <w:vAlign w:val="center"/>
            <w:hideMark/>
          </w:tcPr>
          <w:p w14:paraId="708C150F" w14:textId="3BB6ECCD" w:rsidR="00D028ED" w:rsidRPr="003C3066" w:rsidRDefault="00D028ED" w:rsidP="00D028ED">
            <w:pPr>
              <w:tabs>
                <w:tab w:val="clear" w:pos="1134"/>
                <w:tab w:val="left" w:pos="1418"/>
              </w:tabs>
              <w:spacing w:before="100" w:after="100"/>
              <w:jc w:val="right"/>
              <w:rPr>
                <w:rFonts w:eastAsia="Times New Roman" w:cs="Calibri"/>
                <w:b/>
                <w:bCs/>
                <w:color w:val="000000"/>
                <w:sz w:val="16"/>
                <w:szCs w:val="16"/>
              </w:rPr>
            </w:pPr>
            <w:r>
              <w:rPr>
                <w:b/>
              </w:rPr>
              <w:t>290</w:t>
            </w:r>
            <w:r w:rsidR="00FC1E32">
              <w:rPr>
                <w:b/>
              </w:rPr>
              <w:t xml:space="preserve"> </w:t>
            </w:r>
            <w:r>
              <w:rPr>
                <w:b/>
              </w:rPr>
              <w:t xml:space="preserve">396,4 </w:t>
            </w:r>
          </w:p>
        </w:tc>
        <w:tc>
          <w:tcPr>
            <w:tcW w:w="502" w:type="pct"/>
            <w:tcBorders>
              <w:top w:val="single" w:sz="4" w:space="0" w:color="auto"/>
              <w:bottom w:val="single" w:sz="4" w:space="0" w:color="auto"/>
            </w:tcBorders>
            <w:shd w:val="clear" w:color="000000" w:fill="FFFFFF"/>
            <w:noWrap/>
            <w:vAlign w:val="center"/>
            <w:hideMark/>
          </w:tcPr>
          <w:p w14:paraId="4910C2E8" w14:textId="70DC4E1E" w:rsidR="00D028ED" w:rsidRPr="003C3066" w:rsidRDefault="00D028ED" w:rsidP="00D028ED">
            <w:pPr>
              <w:tabs>
                <w:tab w:val="clear" w:pos="1134"/>
                <w:tab w:val="left" w:pos="1418"/>
              </w:tabs>
              <w:spacing w:before="100" w:after="100"/>
              <w:jc w:val="right"/>
              <w:rPr>
                <w:rFonts w:eastAsia="Times New Roman" w:cs="Calibri"/>
                <w:b/>
                <w:bCs/>
                <w:color w:val="000000"/>
                <w:sz w:val="16"/>
                <w:szCs w:val="16"/>
                <w:lang w:eastAsia="zh-CN"/>
              </w:rPr>
            </w:pPr>
            <w:r w:rsidRPr="003C3066">
              <w:rPr>
                <w:rFonts w:eastAsia="Times New Roman" w:cs="Calibri"/>
                <w:b/>
                <w:color w:val="000000"/>
                <w:sz w:val="16"/>
                <w:szCs w:val="16"/>
              </w:rPr>
              <w:t>100</w:t>
            </w:r>
            <w:r w:rsidR="00FC1E32">
              <w:rPr>
                <w:rFonts w:eastAsia="Times New Roman" w:cs="Calibri"/>
                <w:b/>
                <w:color w:val="000000"/>
                <w:sz w:val="16"/>
                <w:szCs w:val="16"/>
              </w:rPr>
              <w:t>,</w:t>
            </w:r>
            <w:r w:rsidRPr="003C3066">
              <w:rPr>
                <w:rFonts w:eastAsia="Times New Roman" w:cs="Calibri"/>
                <w:b/>
                <w:color w:val="000000"/>
                <w:sz w:val="16"/>
                <w:szCs w:val="16"/>
              </w:rPr>
              <w:t>0%</w:t>
            </w:r>
          </w:p>
        </w:tc>
        <w:tc>
          <w:tcPr>
            <w:tcW w:w="607" w:type="pct"/>
            <w:tcBorders>
              <w:top w:val="single" w:sz="4" w:space="0" w:color="auto"/>
              <w:bottom w:val="single" w:sz="4" w:space="0" w:color="auto"/>
            </w:tcBorders>
            <w:shd w:val="clear" w:color="000000" w:fill="FFFFFF"/>
            <w:noWrap/>
            <w:vAlign w:val="center"/>
            <w:hideMark/>
          </w:tcPr>
          <w:p w14:paraId="23120BD6" w14:textId="7A31C217" w:rsidR="00D028ED" w:rsidRPr="003C3066" w:rsidRDefault="00D028ED" w:rsidP="00D028ED">
            <w:pPr>
              <w:tabs>
                <w:tab w:val="clear" w:pos="1134"/>
                <w:tab w:val="left" w:pos="1418"/>
              </w:tabs>
              <w:spacing w:before="100" w:after="100"/>
              <w:jc w:val="right"/>
              <w:rPr>
                <w:rFonts w:eastAsia="Times New Roman" w:cs="Calibri"/>
                <w:b/>
                <w:bCs/>
                <w:color w:val="000000"/>
                <w:sz w:val="16"/>
                <w:szCs w:val="16"/>
              </w:rPr>
            </w:pPr>
            <w:r>
              <w:rPr>
                <w:b/>
              </w:rPr>
              <w:t>271</w:t>
            </w:r>
            <w:r w:rsidR="00FC1E32">
              <w:rPr>
                <w:b/>
              </w:rPr>
              <w:t xml:space="preserve"> </w:t>
            </w:r>
            <w:r>
              <w:rPr>
                <w:b/>
              </w:rPr>
              <w:t xml:space="preserve">544,4 </w:t>
            </w:r>
          </w:p>
        </w:tc>
        <w:tc>
          <w:tcPr>
            <w:tcW w:w="502" w:type="pct"/>
            <w:tcBorders>
              <w:top w:val="single" w:sz="4" w:space="0" w:color="auto"/>
              <w:bottom w:val="single" w:sz="4" w:space="0" w:color="auto"/>
            </w:tcBorders>
            <w:shd w:val="clear" w:color="000000" w:fill="FFFFFF"/>
            <w:noWrap/>
            <w:vAlign w:val="center"/>
            <w:hideMark/>
          </w:tcPr>
          <w:p w14:paraId="065CC426" w14:textId="4C2D9D74" w:rsidR="00D028ED" w:rsidRPr="003C3066" w:rsidRDefault="00D028ED" w:rsidP="00D028ED">
            <w:pPr>
              <w:tabs>
                <w:tab w:val="clear" w:pos="1134"/>
                <w:tab w:val="left" w:pos="1418"/>
              </w:tabs>
              <w:spacing w:before="100" w:after="100"/>
              <w:jc w:val="right"/>
              <w:rPr>
                <w:rFonts w:eastAsia="Times New Roman" w:cs="Calibri"/>
                <w:b/>
                <w:bCs/>
                <w:color w:val="000000"/>
                <w:sz w:val="16"/>
                <w:szCs w:val="16"/>
                <w:lang w:eastAsia="zh-CN"/>
              </w:rPr>
            </w:pPr>
            <w:r w:rsidRPr="003C3066">
              <w:rPr>
                <w:rFonts w:eastAsia="Times New Roman" w:cs="Calibri"/>
                <w:b/>
                <w:color w:val="000000"/>
                <w:sz w:val="16"/>
                <w:szCs w:val="16"/>
              </w:rPr>
              <w:t>100</w:t>
            </w:r>
            <w:r w:rsidR="00FC1E32">
              <w:rPr>
                <w:rFonts w:eastAsia="Times New Roman" w:cs="Calibri"/>
                <w:b/>
                <w:color w:val="000000"/>
                <w:sz w:val="16"/>
                <w:szCs w:val="16"/>
              </w:rPr>
              <w:t>,</w:t>
            </w:r>
            <w:r w:rsidRPr="003C3066">
              <w:rPr>
                <w:rFonts w:eastAsia="Times New Roman" w:cs="Calibri"/>
                <w:b/>
                <w:color w:val="000000"/>
                <w:sz w:val="16"/>
                <w:szCs w:val="16"/>
              </w:rPr>
              <w:t>0%</w:t>
            </w:r>
          </w:p>
        </w:tc>
        <w:tc>
          <w:tcPr>
            <w:tcW w:w="546" w:type="pct"/>
            <w:tcBorders>
              <w:top w:val="single" w:sz="4" w:space="0" w:color="auto"/>
              <w:bottom w:val="single" w:sz="4" w:space="0" w:color="auto"/>
            </w:tcBorders>
            <w:shd w:val="clear" w:color="000000" w:fill="FFFFFF"/>
            <w:noWrap/>
            <w:vAlign w:val="center"/>
            <w:hideMark/>
          </w:tcPr>
          <w:p w14:paraId="2FDD8A25" w14:textId="7A0C7970" w:rsidR="00D028ED" w:rsidRPr="003C3066" w:rsidRDefault="00D028ED" w:rsidP="00D028ED">
            <w:pPr>
              <w:tabs>
                <w:tab w:val="clear" w:pos="1134"/>
                <w:tab w:val="left" w:pos="1418"/>
              </w:tabs>
              <w:spacing w:before="100" w:after="100"/>
              <w:jc w:val="right"/>
              <w:rPr>
                <w:rFonts w:eastAsia="Times New Roman" w:cs="Calibri"/>
                <w:b/>
                <w:bCs/>
                <w:color w:val="000000"/>
                <w:sz w:val="16"/>
                <w:szCs w:val="16"/>
              </w:rPr>
            </w:pPr>
            <w:r>
              <w:rPr>
                <w:b/>
              </w:rPr>
              <w:t>18</w:t>
            </w:r>
            <w:r w:rsidR="00FC1E32">
              <w:rPr>
                <w:b/>
              </w:rPr>
              <w:t xml:space="preserve"> </w:t>
            </w:r>
            <w:r>
              <w:rPr>
                <w:b/>
              </w:rPr>
              <w:t xml:space="preserve">852,0 </w:t>
            </w:r>
          </w:p>
        </w:tc>
      </w:tr>
    </w:tbl>
    <w:p w14:paraId="4624807E" w14:textId="0D9C8A85"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 xml:space="preserve">En un nivel consolidado, al comparar la propuesta del Secretario General y el escenario de crecimiento nominal cero, la columna de variación identifica un impacto variable por objeto de gasto entre los dos escenarios. En virtud de la propuesta del Secretario General, se han determinado recursos adicionales de personal estimados en 8,8 millones de francos suizos para que las inversiones del personal realicen la ejecución de las principales prestaciones y actividades habilitadoras, incluido el impacto financiero en los cambios de personal durante el </w:t>
      </w:r>
      <w:r w:rsidR="00550D42">
        <w:rPr>
          <w:rFonts w:eastAsiaTheme="minorHAnsi" w:cstheme="minorBidi"/>
          <w:lang w:val="es-ES"/>
        </w:rPr>
        <w:t>ejercicio económico</w:t>
      </w:r>
      <w:r w:rsidRPr="009D1B2C">
        <w:rPr>
          <w:rFonts w:eastAsiaTheme="minorHAnsi" w:cstheme="minorBidi"/>
          <w:lang w:val="es-ES"/>
        </w:rPr>
        <w:t xml:space="preserve"> 2024-2027 debido al proceso de reforma regional. El componente de viajes también afecta en gran medida al componente financiero de las principales prestaciones de la propuesta del Secretario General, principalmente relacionada con los viajes de expertos. Se observa un aumento de los gastos de servicios contractuales y de funcionamiento como resultado de la estimación del costo de reubicación de la reforma regional, la inversión en un </w:t>
      </w:r>
      <w:r w:rsidR="00B60539">
        <w:rPr>
          <w:rFonts w:eastAsiaTheme="minorHAnsi" w:cstheme="minorBidi"/>
          <w:lang w:val="es-ES"/>
        </w:rPr>
        <w:t>P</w:t>
      </w:r>
      <w:r w:rsidR="00B81701">
        <w:rPr>
          <w:rFonts w:eastAsiaTheme="minorHAnsi" w:cstheme="minorBidi"/>
          <w:lang w:val="es-ES"/>
        </w:rPr>
        <w:t>rograma de jubilación</w:t>
      </w:r>
      <w:r w:rsidR="00B60539">
        <w:rPr>
          <w:rFonts w:eastAsiaTheme="minorHAnsi" w:cstheme="minorBidi"/>
          <w:lang w:val="es-ES"/>
        </w:rPr>
        <w:t xml:space="preserve"> anticipada</w:t>
      </w:r>
      <w:r w:rsidRPr="009D1B2C">
        <w:rPr>
          <w:rFonts w:eastAsiaTheme="minorHAnsi" w:cstheme="minorBidi"/>
          <w:lang w:val="es-ES"/>
        </w:rPr>
        <w:t xml:space="preserve"> moderno, el despliegue de la Estrategia de tecnología de la información y los componentes contratantes clave relacionados con las nuevas iniciativas.</w:t>
      </w:r>
    </w:p>
    <w:p w14:paraId="0162310D"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rPr>
      </w:pPr>
      <w:bookmarkStart w:id="15" w:name="_Toc121390463"/>
      <w:r>
        <w:rPr>
          <w:b/>
        </w:rPr>
        <w:t>Otros recursos ordinarios</w:t>
      </w:r>
      <w:bookmarkEnd w:id="15"/>
    </w:p>
    <w:p w14:paraId="2F0079F1" w14:textId="77777777" w:rsidR="00D028ED" w:rsidRPr="003C3066" w:rsidRDefault="00D028ED">
      <w:pPr>
        <w:numPr>
          <w:ilvl w:val="0"/>
          <w:numId w:val="1"/>
        </w:numPr>
        <w:tabs>
          <w:tab w:val="left" w:pos="1701"/>
        </w:tabs>
        <w:spacing w:before="240" w:after="240"/>
        <w:ind w:left="0" w:firstLine="0"/>
        <w:jc w:val="left"/>
        <w:rPr>
          <w:rFonts w:eastAsiaTheme="minorHAnsi" w:cstheme="minorBidi"/>
        </w:rPr>
      </w:pPr>
      <w:r w:rsidRPr="009D1B2C">
        <w:rPr>
          <w:rFonts w:eastAsiaTheme="minorHAnsi" w:cstheme="minorBidi"/>
          <w:lang w:val="es-ES"/>
        </w:rPr>
        <w:t xml:space="preserve">Los ingresos procedentes de los recursos ordinarios incluyen dos categorías de ingresos, a saber: i) las contribuciones prorrateadas; ii) otros recursos ordinarios. Las contribuciones se basan en los presupuestos bienales aprobados y son proporcionados por los Miembros de la OMM de conformidad con la escala de contribuciones fijada por el Congreso y el Consejo Ejecutivo. Las contribuciones prorrateadas se complementan con otros recursos ordinarios que la organización recibe para actividades específicas. </w:t>
      </w:r>
      <w:r w:rsidRPr="003C3066">
        <w:rPr>
          <w:rFonts w:eastAsiaTheme="minorHAnsi" w:cstheme="minorBidi"/>
        </w:rPr>
        <w:t>Los demás recursos ordinarios son:</w:t>
      </w:r>
    </w:p>
    <w:p w14:paraId="4052F190" w14:textId="77777777"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i/>
          <w:iCs/>
          <w:lang w:val="es-ES"/>
        </w:rPr>
        <w:t>Alquiler de instalaciones</w:t>
      </w:r>
      <w:r w:rsidRPr="009D1B2C">
        <w:rPr>
          <w:rFonts w:eastAsiaTheme="minorHAnsi" w:cstheme="minorBidi"/>
          <w:lang w:val="es-ES"/>
        </w:rPr>
        <w:t>: Los ingresos generados por el alquiler de oficinas y los espacios de aparcamiento para los funcionarios de la OMM y los inquilinos se agrupan y gestionan de forma centralizada con la Cuenta Especial de Obras Extraordinarias del Edificio de la Sede de la OMM. Posteriormente, estos fondos se asignan para financiar proyectos de renovación e innovación del edificio y reemplazos de activos específicos fuera de las actividades recurrentes de mantenimiento. La estimación de 7,2 millones de francos se basa en los ingresos reales de años anteriores. Los alquileres se ajustan sobre la base del costo de la vida en Ginebra. Los ingresos generados por la asignación de recursos de las instalaciones de conferencias de la OMM por parte del Centro de Conferencias de la OMM se agrupan y gestionan de forma centralizada con la Cuenta Especial para la asignación de recursos para la Conferencia, que asciende a 0,5 millones de francos suizos.</w:t>
      </w:r>
    </w:p>
    <w:p w14:paraId="4909EC94" w14:textId="3D1455CD"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i/>
          <w:iCs/>
          <w:lang w:val="es-ES"/>
        </w:rPr>
        <w:t>Gastos de apoyo a los programas</w:t>
      </w:r>
      <w:r w:rsidRPr="009D1B2C">
        <w:rPr>
          <w:rFonts w:eastAsiaTheme="minorHAnsi" w:cstheme="minorBidi"/>
          <w:lang w:val="es-ES"/>
        </w:rPr>
        <w:t xml:space="preserve">: Los ingresos de los Comités Principales se generan a partir de la ejecución de actividades financiadas con cargo a recursos voluntarios, según se determina en la política </w:t>
      </w:r>
      <w:hyperlink r:id="rId22" w:anchor="page=146" w:history="1">
        <w:r w:rsidRPr="009D1B2C">
          <w:rPr>
            <w:rStyle w:val="Hyperlink"/>
            <w:rFonts w:eastAsiaTheme="minorHAnsi" w:cstheme="minorBidi"/>
            <w:lang w:val="es-ES"/>
          </w:rPr>
          <w:t xml:space="preserve"> de la OMM en materia de gastos de apoyo a los programas aprobada en la Resolución 20 (EC-64)</w:t>
        </w:r>
      </w:hyperlink>
      <w:r w:rsidRPr="009D1B2C">
        <w:rPr>
          <w:rFonts w:eastAsiaTheme="minorHAnsi" w:cstheme="minorBidi"/>
          <w:lang w:val="es-ES"/>
        </w:rPr>
        <w:t xml:space="preserve">). Esta estimación inferior a 9 millones de francos suizos representa un aumento de 0,6 millones de francos suizos, que se basa en la tendencia actual de los ingresos por gastos de apoyo a los programas y el aumento estimado de las actividades </w:t>
      </w:r>
      <w:r w:rsidRPr="009D1B2C">
        <w:rPr>
          <w:rFonts w:eastAsiaTheme="minorHAnsi" w:cstheme="minorBidi"/>
          <w:lang w:val="es-ES"/>
        </w:rPr>
        <w:lastRenderedPageBreak/>
        <w:t>financiadas con cargo a actividades extrapresupuestarias. Los ingresos de los Comités Principales se agrupan en la cuenta especial del Comité, donde se gestiona de forma centralizada para asignar recursos para financiar costos indirectos que apoyan las actividades extrapresupuestarias de la organización.</w:t>
      </w:r>
    </w:p>
    <w:p w14:paraId="1CC5C209" w14:textId="1572123D"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i/>
          <w:iCs/>
          <w:lang w:val="es-ES"/>
        </w:rPr>
        <w:t>Intereses devengados/ingresos diversos</w:t>
      </w:r>
      <w:r w:rsidRPr="0009495B">
        <w:rPr>
          <w:rFonts w:eastAsiaTheme="minorHAnsi" w:cstheme="minorBidi"/>
          <w:lang w:val="es-ES"/>
        </w:rPr>
        <w:t>: Se estima que los intereses</w:t>
      </w:r>
      <w:r w:rsidRPr="009D1B2C">
        <w:rPr>
          <w:rFonts w:eastAsiaTheme="minorHAnsi" w:cstheme="minorBidi"/>
          <w:i/>
          <w:iCs/>
          <w:lang w:val="es-ES"/>
        </w:rPr>
        <w:t xml:space="preserve"> </w:t>
      </w:r>
      <w:r w:rsidRPr="009D1B2C">
        <w:rPr>
          <w:rFonts w:eastAsiaTheme="minorHAnsi" w:cstheme="minorBidi"/>
          <w:lang w:val="es-ES"/>
        </w:rPr>
        <w:t xml:space="preserve">y los ingresos diversos son de 300 000 francos suizos, un ligero aumento </w:t>
      </w:r>
      <w:r w:rsidR="00CC431E">
        <w:rPr>
          <w:rFonts w:eastAsiaTheme="minorHAnsi" w:cstheme="minorBidi"/>
          <w:lang w:val="es-ES"/>
        </w:rPr>
        <w:t>con respecto al ejercicio económico</w:t>
      </w:r>
      <w:r w:rsidRPr="009D1B2C">
        <w:rPr>
          <w:rFonts w:eastAsiaTheme="minorHAnsi" w:cstheme="minorBidi"/>
          <w:lang w:val="es-ES"/>
        </w:rPr>
        <w:t xml:space="preserve"> anterior como resultado del aumento de las tasas de interés. Los ingresos varios pueden incluir ganancias de la venta de recuerdos, regalías, créditos no reclamados y otros tipos de ingresos diversos. Los intereses devengados o los ingresos diversos forman parte del cálculo general del superávit/déficit de caja para el período financiero.</w:t>
      </w:r>
    </w:p>
    <w:p w14:paraId="69B185B2" w14:textId="38A94F22"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 xml:space="preserve">La predicción de otros recursos ordinarios para el </w:t>
      </w:r>
      <w:r w:rsidR="00D96802">
        <w:rPr>
          <w:rFonts w:eastAsiaTheme="minorHAnsi" w:cstheme="minorBidi"/>
          <w:lang w:val="es-ES"/>
        </w:rPr>
        <w:t>ejercicio económico</w:t>
      </w:r>
      <w:r w:rsidRPr="009D1B2C">
        <w:rPr>
          <w:rFonts w:eastAsiaTheme="minorHAnsi" w:cstheme="minorBidi"/>
          <w:lang w:val="es-ES"/>
        </w:rPr>
        <w:t xml:space="preserve"> 2024-2027 se resume en el cuadro 9 siguiente:</w:t>
      </w:r>
    </w:p>
    <w:p w14:paraId="5A62E0DE" w14:textId="4A2291DF" w:rsidR="00D028ED" w:rsidRPr="009D1B2C" w:rsidRDefault="00D028ED" w:rsidP="00D028ED">
      <w:pPr>
        <w:tabs>
          <w:tab w:val="clear" w:pos="1134"/>
          <w:tab w:val="left" w:pos="1418"/>
        </w:tabs>
        <w:spacing w:after="200"/>
        <w:jc w:val="center"/>
        <w:rPr>
          <w:rFonts w:eastAsiaTheme="minorEastAsia" w:cstheme="minorBidi"/>
          <w:szCs w:val="22"/>
          <w:lang w:val="es-ES" w:eastAsia="zh-CN"/>
        </w:rPr>
      </w:pPr>
      <w:r w:rsidRPr="009D1B2C">
        <w:rPr>
          <w:rFonts w:eastAsiaTheme="minorEastAsia" w:cstheme="minorBidi"/>
          <w:b/>
          <w:szCs w:val="22"/>
          <w:lang w:val="es-ES"/>
        </w:rPr>
        <w:t xml:space="preserve">Cuadro 9 </w:t>
      </w:r>
      <w:r w:rsidRPr="009D1B2C">
        <w:rPr>
          <w:rFonts w:eastAsiaTheme="minorEastAsia" w:cstheme="minorBidi"/>
          <w:i/>
          <w:szCs w:val="22"/>
          <w:lang w:val="es-ES"/>
        </w:rPr>
        <w:br/>
      </w:r>
      <w:r w:rsidRPr="009D1B2C">
        <w:rPr>
          <w:rFonts w:eastAsiaTheme="minorEastAsia" w:cstheme="minorBidi"/>
          <w:b/>
          <w:szCs w:val="22"/>
          <w:lang w:val="es-ES"/>
        </w:rPr>
        <w:t xml:space="preserve">Otros recursos </w:t>
      </w:r>
      <w:r w:rsidRPr="009D1B2C">
        <w:rPr>
          <w:rFonts w:eastAsiaTheme="minorEastAsia" w:cstheme="minorBidi"/>
          <w:b/>
          <w:szCs w:val="22"/>
          <w:lang w:val="es-ES"/>
        </w:rPr>
        <w:br/>
      </w:r>
      <w:r w:rsidRPr="009D1B2C">
        <w:rPr>
          <w:rFonts w:eastAsiaTheme="minorEastAsia" w:cstheme="minorBidi"/>
          <w:i/>
          <w:szCs w:val="22"/>
          <w:lang w:val="es-ES"/>
        </w:rPr>
        <w:t>ordinarios (montos en miles de francos suizos)</w:t>
      </w:r>
    </w:p>
    <w:p w14:paraId="1E59915F" w14:textId="77777777" w:rsidR="00D028ED" w:rsidRPr="003C3066" w:rsidRDefault="00D028ED" w:rsidP="00D028ED">
      <w:pPr>
        <w:tabs>
          <w:tab w:val="clear" w:pos="1134"/>
          <w:tab w:val="left" w:pos="1418"/>
        </w:tabs>
        <w:spacing w:after="200"/>
        <w:jc w:val="left"/>
        <w:rPr>
          <w:rFonts w:ascii="Times New Roman" w:eastAsia="MS Mincho" w:hAnsi="Times New Roman" w:cs="Times New Roman"/>
          <w:szCs w:val="22"/>
          <w:lang w:eastAsia="zh-TW"/>
        </w:rPr>
      </w:pPr>
      <w:r w:rsidRPr="009D1B2C">
        <w:rPr>
          <w:rFonts w:eastAsiaTheme="minorEastAsia" w:cstheme="minorBidi"/>
          <w:noProof/>
          <w:szCs w:val="22"/>
          <w:lang w:val="es-ES"/>
        </w:rPr>
        <w:t xml:space="preserve"> </w:t>
      </w:r>
      <w:r w:rsidRPr="003C3066">
        <w:rPr>
          <w:rFonts w:eastAsiaTheme="minorEastAsia" w:cstheme="minorBidi"/>
          <w:noProof/>
          <w:szCs w:val="22"/>
        </w:rPr>
        <w:t xml:space="preserve">LINK Excel.Sheet.12 "https://wmoomm.sharepoint.com/sites/GS-Finance/Shared%20Documents/Finance/Budget/2024-2027/TABLE%20FOR%20DOCUMENT.xlsx" "table 9!R3C1:R10C3" \a \f 4 \h  \* MERGEFORMAT </w:t>
      </w:r>
    </w:p>
    <w:tbl>
      <w:tblPr>
        <w:tblW w:w="4199" w:type="pct"/>
        <w:jc w:val="center"/>
        <w:tblLayout w:type="fixed"/>
        <w:tblLook w:val="04A0" w:firstRow="1" w:lastRow="0" w:firstColumn="1" w:lastColumn="0" w:noHBand="0" w:noVBand="1"/>
      </w:tblPr>
      <w:tblGrid>
        <w:gridCol w:w="5670"/>
        <w:gridCol w:w="2425"/>
      </w:tblGrid>
      <w:tr w:rsidR="00D028ED" w:rsidRPr="003C3066" w14:paraId="34E44F37" w14:textId="77777777" w:rsidTr="00642968">
        <w:trPr>
          <w:trHeight w:val="550"/>
          <w:jc w:val="center"/>
        </w:trPr>
        <w:tc>
          <w:tcPr>
            <w:tcW w:w="3502" w:type="pct"/>
            <w:tcBorders>
              <w:top w:val="single" w:sz="4" w:space="0" w:color="auto"/>
              <w:left w:val="nil"/>
              <w:bottom w:val="single" w:sz="4" w:space="0" w:color="auto"/>
              <w:right w:val="nil"/>
            </w:tcBorders>
            <w:shd w:val="clear" w:color="auto" w:fill="F2F2F2" w:themeFill="background1" w:themeFillShade="F2"/>
            <w:vAlign w:val="center"/>
            <w:hideMark/>
          </w:tcPr>
          <w:p w14:paraId="6D2AB27D" w14:textId="77777777" w:rsidR="00D028ED" w:rsidRPr="003C3066" w:rsidRDefault="00D028ED" w:rsidP="00D028ED">
            <w:pPr>
              <w:tabs>
                <w:tab w:val="clear" w:pos="1134"/>
                <w:tab w:val="left" w:pos="1418"/>
              </w:tabs>
              <w:spacing w:before="100" w:after="100"/>
              <w:ind w:firstLineChars="100" w:firstLine="200"/>
              <w:jc w:val="left"/>
              <w:rPr>
                <w:rFonts w:eastAsia="Times New Roman" w:cs="Calibri"/>
                <w:color w:val="000000"/>
                <w:szCs w:val="22"/>
                <w:lang w:eastAsia="zh-CN"/>
              </w:rPr>
            </w:pPr>
            <w:r w:rsidRPr="003C3066">
              <w:rPr>
                <w:rFonts w:eastAsia="Times New Roman" w:cs="Calibri"/>
                <w:color w:val="000000"/>
                <w:szCs w:val="22"/>
              </w:rPr>
              <w:t>Otros recursos ordinarios</w:t>
            </w:r>
          </w:p>
        </w:tc>
        <w:tc>
          <w:tcPr>
            <w:tcW w:w="1498" w:type="pct"/>
            <w:tcBorders>
              <w:top w:val="single" w:sz="4" w:space="0" w:color="auto"/>
              <w:left w:val="nil"/>
              <w:bottom w:val="single" w:sz="4" w:space="0" w:color="auto"/>
              <w:right w:val="nil"/>
            </w:tcBorders>
            <w:shd w:val="clear" w:color="auto" w:fill="F2F2F2" w:themeFill="background1" w:themeFillShade="F2"/>
            <w:vAlign w:val="center"/>
            <w:hideMark/>
          </w:tcPr>
          <w:p w14:paraId="1A0E6278" w14:textId="77777777" w:rsidR="00D028ED" w:rsidRPr="003C3066" w:rsidRDefault="00D028ED" w:rsidP="00D028ED">
            <w:pPr>
              <w:tabs>
                <w:tab w:val="clear" w:pos="1134"/>
                <w:tab w:val="left" w:pos="1418"/>
              </w:tabs>
              <w:spacing w:before="100" w:after="100"/>
              <w:jc w:val="center"/>
              <w:rPr>
                <w:rFonts w:eastAsia="Times New Roman" w:cs="Calibri"/>
                <w:color w:val="000000"/>
                <w:szCs w:val="22"/>
                <w:lang w:eastAsia="zh-CN"/>
              </w:rPr>
            </w:pPr>
            <w:r w:rsidRPr="003C3066">
              <w:rPr>
                <w:rFonts w:eastAsia="Times New Roman" w:cs="Calibri"/>
                <w:color w:val="000000"/>
                <w:szCs w:val="22"/>
              </w:rPr>
              <w:t>Recursos estimados para 2024-2027</w:t>
            </w:r>
          </w:p>
        </w:tc>
      </w:tr>
      <w:tr w:rsidR="00D028ED" w:rsidRPr="003C3066" w14:paraId="58006994" w14:textId="77777777" w:rsidTr="00642968">
        <w:trPr>
          <w:trHeight w:val="259"/>
          <w:jc w:val="center"/>
        </w:trPr>
        <w:tc>
          <w:tcPr>
            <w:tcW w:w="3502" w:type="pct"/>
            <w:tcBorders>
              <w:top w:val="single" w:sz="4" w:space="0" w:color="auto"/>
              <w:left w:val="nil"/>
              <w:bottom w:val="dotted" w:sz="4" w:space="0" w:color="auto"/>
              <w:right w:val="nil"/>
            </w:tcBorders>
            <w:shd w:val="clear" w:color="000000" w:fill="FFFFFF"/>
            <w:noWrap/>
            <w:vAlign w:val="center"/>
            <w:hideMark/>
          </w:tcPr>
          <w:p w14:paraId="35BFBE9B" w14:textId="77777777" w:rsidR="00D028ED" w:rsidRPr="003C3066" w:rsidRDefault="00D028ED" w:rsidP="00D028ED">
            <w:pPr>
              <w:tabs>
                <w:tab w:val="clear" w:pos="1134"/>
                <w:tab w:val="left" w:pos="1418"/>
              </w:tabs>
              <w:spacing w:before="100" w:after="100"/>
              <w:ind w:firstLineChars="200" w:firstLine="8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1498" w:type="pct"/>
            <w:tcBorders>
              <w:top w:val="single" w:sz="4" w:space="0" w:color="auto"/>
              <w:left w:val="nil"/>
              <w:bottom w:val="dotted" w:sz="4" w:space="0" w:color="auto"/>
              <w:right w:val="nil"/>
            </w:tcBorders>
            <w:shd w:val="clear" w:color="000000" w:fill="FFFFFF"/>
            <w:noWrap/>
            <w:vAlign w:val="center"/>
            <w:hideMark/>
          </w:tcPr>
          <w:p w14:paraId="1800210B"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0C7C57AC" w14:textId="77777777" w:rsidTr="00642968">
        <w:trPr>
          <w:trHeight w:val="259"/>
          <w:jc w:val="center"/>
        </w:trPr>
        <w:tc>
          <w:tcPr>
            <w:tcW w:w="3502" w:type="pct"/>
            <w:tcBorders>
              <w:top w:val="dotted" w:sz="4" w:space="0" w:color="auto"/>
              <w:left w:val="nil"/>
              <w:bottom w:val="dotted" w:sz="4" w:space="0" w:color="auto"/>
              <w:right w:val="nil"/>
            </w:tcBorders>
            <w:shd w:val="clear" w:color="000000" w:fill="FFFFFF"/>
            <w:noWrap/>
            <w:vAlign w:val="center"/>
            <w:hideMark/>
          </w:tcPr>
          <w:p w14:paraId="22DF30A7" w14:textId="77777777" w:rsidR="00D028ED" w:rsidRPr="009D1B2C" w:rsidRDefault="00D028ED" w:rsidP="00D028ED">
            <w:pPr>
              <w:tabs>
                <w:tab w:val="clear" w:pos="1134"/>
                <w:tab w:val="left" w:pos="1418"/>
              </w:tabs>
              <w:spacing w:before="100" w:after="100"/>
              <w:ind w:firstLineChars="200" w:firstLine="400"/>
              <w:jc w:val="left"/>
              <w:rPr>
                <w:rFonts w:eastAsia="Times New Roman" w:cs="Calibri"/>
                <w:color w:val="000000"/>
                <w:szCs w:val="22"/>
                <w:lang w:val="es-ES" w:eastAsia="zh-CN"/>
              </w:rPr>
            </w:pPr>
            <w:r w:rsidRPr="009D1B2C">
              <w:rPr>
                <w:rFonts w:eastAsia="Times New Roman" w:cs="Calibri"/>
                <w:color w:val="000000"/>
                <w:szCs w:val="22"/>
                <w:lang w:val="es-ES"/>
              </w:rPr>
              <w:t>Alquiler de edificios y aparcamientos</w:t>
            </w:r>
          </w:p>
        </w:tc>
        <w:tc>
          <w:tcPr>
            <w:tcW w:w="1498" w:type="pct"/>
            <w:tcBorders>
              <w:top w:val="dotted" w:sz="4" w:space="0" w:color="auto"/>
              <w:left w:val="nil"/>
              <w:bottom w:val="dotted" w:sz="4" w:space="0" w:color="auto"/>
              <w:right w:val="nil"/>
            </w:tcBorders>
            <w:shd w:val="clear" w:color="000000" w:fill="FFFFFF"/>
            <w:noWrap/>
            <w:vAlign w:val="center"/>
            <w:hideMark/>
          </w:tcPr>
          <w:p w14:paraId="675A40FF" w14:textId="0679A97A" w:rsidR="00D028ED" w:rsidRPr="003C3066" w:rsidRDefault="00D028ED" w:rsidP="00D028ED">
            <w:pPr>
              <w:tabs>
                <w:tab w:val="clear" w:pos="1134"/>
                <w:tab w:val="left" w:pos="1418"/>
              </w:tabs>
              <w:spacing w:before="100" w:after="100"/>
              <w:jc w:val="right"/>
              <w:rPr>
                <w:rFonts w:eastAsia="Times New Roman" w:cs="Calibri"/>
                <w:color w:val="000000"/>
                <w:szCs w:val="22"/>
              </w:rPr>
            </w:pPr>
            <w:r>
              <w:t>7</w:t>
            </w:r>
            <w:r w:rsidR="00D96802">
              <w:t xml:space="preserve"> </w:t>
            </w:r>
            <w:r>
              <w:t xml:space="preserve">200,0 </w:t>
            </w:r>
          </w:p>
        </w:tc>
      </w:tr>
      <w:tr w:rsidR="00D028ED" w:rsidRPr="003C3066" w14:paraId="7CA63172" w14:textId="77777777" w:rsidTr="00642968">
        <w:trPr>
          <w:trHeight w:val="259"/>
          <w:jc w:val="center"/>
        </w:trPr>
        <w:tc>
          <w:tcPr>
            <w:tcW w:w="3502" w:type="pct"/>
            <w:tcBorders>
              <w:top w:val="dotted" w:sz="4" w:space="0" w:color="auto"/>
              <w:left w:val="nil"/>
              <w:bottom w:val="dotted" w:sz="4" w:space="0" w:color="auto"/>
              <w:right w:val="nil"/>
            </w:tcBorders>
            <w:shd w:val="clear" w:color="000000" w:fill="FFFFFF"/>
            <w:noWrap/>
            <w:vAlign w:val="center"/>
            <w:hideMark/>
          </w:tcPr>
          <w:p w14:paraId="193C1D94" w14:textId="77777777" w:rsidR="00D028ED" w:rsidRPr="009D1B2C" w:rsidRDefault="00D028ED" w:rsidP="00D028ED">
            <w:pPr>
              <w:tabs>
                <w:tab w:val="clear" w:pos="1134"/>
                <w:tab w:val="left" w:pos="1418"/>
              </w:tabs>
              <w:spacing w:before="100" w:after="100"/>
              <w:ind w:firstLineChars="200" w:firstLine="400"/>
              <w:jc w:val="left"/>
              <w:rPr>
                <w:rFonts w:eastAsia="Times New Roman" w:cs="Calibri"/>
                <w:color w:val="000000"/>
                <w:szCs w:val="22"/>
                <w:lang w:val="es-ES" w:eastAsia="zh-CN"/>
              </w:rPr>
            </w:pPr>
            <w:r w:rsidRPr="009D1B2C">
              <w:rPr>
                <w:rFonts w:eastAsia="Times New Roman" w:cs="Calibri"/>
                <w:color w:val="000000"/>
                <w:szCs w:val="22"/>
                <w:lang w:val="es-ES"/>
              </w:rPr>
              <w:t>Alquiler de instalaciones para conferencias</w:t>
            </w:r>
          </w:p>
        </w:tc>
        <w:tc>
          <w:tcPr>
            <w:tcW w:w="1498" w:type="pct"/>
            <w:tcBorders>
              <w:top w:val="dotted" w:sz="4" w:space="0" w:color="auto"/>
              <w:left w:val="nil"/>
              <w:bottom w:val="dotted" w:sz="4" w:space="0" w:color="auto"/>
              <w:right w:val="nil"/>
            </w:tcBorders>
            <w:shd w:val="clear" w:color="000000" w:fill="FFFFFF"/>
            <w:noWrap/>
            <w:vAlign w:val="center"/>
            <w:hideMark/>
          </w:tcPr>
          <w:p w14:paraId="3247842B" w14:textId="77777777" w:rsidR="00D028ED" w:rsidRPr="003C3066" w:rsidRDefault="00D028ED" w:rsidP="00D028ED">
            <w:pPr>
              <w:tabs>
                <w:tab w:val="clear" w:pos="1134"/>
                <w:tab w:val="left" w:pos="1418"/>
              </w:tabs>
              <w:spacing w:before="100" w:after="100"/>
              <w:jc w:val="right"/>
              <w:rPr>
                <w:rFonts w:eastAsia="Times New Roman" w:cs="Calibri"/>
                <w:color w:val="000000"/>
                <w:szCs w:val="22"/>
              </w:rPr>
            </w:pPr>
            <w:r>
              <w:t xml:space="preserve">500,0 </w:t>
            </w:r>
          </w:p>
        </w:tc>
      </w:tr>
      <w:tr w:rsidR="00D028ED" w:rsidRPr="003C3066" w14:paraId="1486F2DC" w14:textId="77777777" w:rsidTr="00642968">
        <w:trPr>
          <w:trHeight w:val="259"/>
          <w:jc w:val="center"/>
        </w:trPr>
        <w:tc>
          <w:tcPr>
            <w:tcW w:w="3502" w:type="pct"/>
            <w:tcBorders>
              <w:top w:val="dotted" w:sz="4" w:space="0" w:color="auto"/>
              <w:left w:val="nil"/>
              <w:bottom w:val="dotted" w:sz="4" w:space="0" w:color="auto"/>
              <w:right w:val="nil"/>
            </w:tcBorders>
            <w:shd w:val="clear" w:color="000000" w:fill="FFFFFF"/>
            <w:noWrap/>
            <w:vAlign w:val="center"/>
            <w:hideMark/>
          </w:tcPr>
          <w:p w14:paraId="0EC3DBBA" w14:textId="77777777" w:rsidR="00D028ED" w:rsidRPr="009D1B2C" w:rsidRDefault="00D028ED" w:rsidP="00D028ED">
            <w:pPr>
              <w:tabs>
                <w:tab w:val="clear" w:pos="1134"/>
                <w:tab w:val="left" w:pos="1418"/>
              </w:tabs>
              <w:spacing w:before="100" w:after="100"/>
              <w:ind w:firstLineChars="200" w:firstLine="400"/>
              <w:jc w:val="left"/>
              <w:rPr>
                <w:rFonts w:eastAsia="Times New Roman" w:cs="Calibri"/>
                <w:color w:val="000000"/>
                <w:szCs w:val="22"/>
                <w:lang w:val="es-ES" w:eastAsia="zh-CN"/>
              </w:rPr>
            </w:pPr>
            <w:r w:rsidRPr="009D1B2C">
              <w:rPr>
                <w:rFonts w:eastAsia="Times New Roman" w:cs="Calibri"/>
                <w:color w:val="000000"/>
                <w:szCs w:val="22"/>
                <w:lang w:val="es-ES"/>
              </w:rPr>
              <w:t>Gastos de apoyo a los programas</w:t>
            </w:r>
          </w:p>
        </w:tc>
        <w:tc>
          <w:tcPr>
            <w:tcW w:w="1498" w:type="pct"/>
            <w:tcBorders>
              <w:top w:val="dotted" w:sz="4" w:space="0" w:color="auto"/>
              <w:left w:val="nil"/>
              <w:bottom w:val="dotted" w:sz="4" w:space="0" w:color="auto"/>
              <w:right w:val="nil"/>
            </w:tcBorders>
            <w:shd w:val="clear" w:color="000000" w:fill="FFFFFF"/>
            <w:noWrap/>
            <w:vAlign w:val="center"/>
            <w:hideMark/>
          </w:tcPr>
          <w:p w14:paraId="0AD1250C" w14:textId="0F8E660A" w:rsidR="00D028ED" w:rsidRPr="003C3066" w:rsidRDefault="00D028ED" w:rsidP="00D028ED">
            <w:pPr>
              <w:tabs>
                <w:tab w:val="clear" w:pos="1134"/>
                <w:tab w:val="left" w:pos="1418"/>
              </w:tabs>
              <w:spacing w:before="100" w:after="100"/>
              <w:jc w:val="right"/>
              <w:rPr>
                <w:rFonts w:eastAsia="Times New Roman" w:cs="Calibri"/>
                <w:color w:val="000000"/>
                <w:szCs w:val="22"/>
              </w:rPr>
            </w:pPr>
            <w:r>
              <w:t>9</w:t>
            </w:r>
            <w:r w:rsidR="00D96802">
              <w:t xml:space="preserve"> </w:t>
            </w:r>
            <w:r>
              <w:t xml:space="preserve">000,0 </w:t>
            </w:r>
          </w:p>
        </w:tc>
      </w:tr>
      <w:tr w:rsidR="00D028ED" w:rsidRPr="003C3066" w14:paraId="0A659542" w14:textId="77777777" w:rsidTr="00642968">
        <w:trPr>
          <w:trHeight w:val="259"/>
          <w:jc w:val="center"/>
        </w:trPr>
        <w:tc>
          <w:tcPr>
            <w:tcW w:w="3502" w:type="pct"/>
            <w:tcBorders>
              <w:top w:val="dotted" w:sz="4" w:space="0" w:color="auto"/>
              <w:left w:val="nil"/>
              <w:bottom w:val="dotted" w:sz="4" w:space="0" w:color="auto"/>
              <w:right w:val="nil"/>
            </w:tcBorders>
            <w:shd w:val="clear" w:color="000000" w:fill="FFFFFF"/>
            <w:noWrap/>
            <w:vAlign w:val="center"/>
            <w:hideMark/>
          </w:tcPr>
          <w:p w14:paraId="181FAFED" w14:textId="77777777" w:rsidR="00D028ED" w:rsidRPr="003C3066" w:rsidRDefault="00D028ED" w:rsidP="00D028ED">
            <w:pPr>
              <w:tabs>
                <w:tab w:val="clear" w:pos="1134"/>
                <w:tab w:val="left" w:pos="1418"/>
              </w:tabs>
              <w:spacing w:before="100" w:after="100"/>
              <w:ind w:firstLineChars="200" w:firstLine="400"/>
              <w:jc w:val="left"/>
              <w:rPr>
                <w:rFonts w:eastAsia="Times New Roman" w:cs="Calibri"/>
                <w:color w:val="000000"/>
                <w:szCs w:val="22"/>
                <w:lang w:eastAsia="zh-CN"/>
              </w:rPr>
            </w:pPr>
            <w:r w:rsidRPr="003C3066">
              <w:rPr>
                <w:rFonts w:eastAsia="Times New Roman" w:cs="Calibri"/>
                <w:color w:val="000000"/>
                <w:szCs w:val="22"/>
              </w:rPr>
              <w:t>Intereses devengados / Miscelánea</w:t>
            </w:r>
          </w:p>
        </w:tc>
        <w:tc>
          <w:tcPr>
            <w:tcW w:w="1498" w:type="pct"/>
            <w:tcBorders>
              <w:top w:val="dotted" w:sz="4" w:space="0" w:color="auto"/>
              <w:left w:val="nil"/>
              <w:bottom w:val="dotted" w:sz="4" w:space="0" w:color="auto"/>
              <w:right w:val="nil"/>
            </w:tcBorders>
            <w:shd w:val="clear" w:color="000000" w:fill="FFFFFF"/>
            <w:noWrap/>
            <w:vAlign w:val="center"/>
            <w:hideMark/>
          </w:tcPr>
          <w:p w14:paraId="12ACCDF3" w14:textId="77777777" w:rsidR="00D028ED" w:rsidRPr="003C3066" w:rsidRDefault="00D028ED" w:rsidP="00D028ED">
            <w:pPr>
              <w:tabs>
                <w:tab w:val="clear" w:pos="1134"/>
                <w:tab w:val="left" w:pos="1418"/>
              </w:tabs>
              <w:spacing w:before="100" w:after="100"/>
              <w:jc w:val="right"/>
              <w:rPr>
                <w:rFonts w:eastAsia="Times New Roman" w:cs="Calibri"/>
                <w:color w:val="000000"/>
                <w:szCs w:val="22"/>
              </w:rPr>
            </w:pPr>
            <w:r>
              <w:t>300,0</w:t>
            </w:r>
          </w:p>
        </w:tc>
      </w:tr>
      <w:tr w:rsidR="00D028ED" w:rsidRPr="003C3066" w14:paraId="730CB163" w14:textId="77777777" w:rsidTr="00642968">
        <w:trPr>
          <w:trHeight w:val="259"/>
          <w:jc w:val="center"/>
        </w:trPr>
        <w:tc>
          <w:tcPr>
            <w:tcW w:w="3502" w:type="pct"/>
            <w:tcBorders>
              <w:top w:val="dotted" w:sz="4" w:space="0" w:color="auto"/>
              <w:left w:val="nil"/>
              <w:bottom w:val="single" w:sz="4" w:space="0" w:color="auto"/>
              <w:right w:val="nil"/>
            </w:tcBorders>
            <w:shd w:val="clear" w:color="000000" w:fill="FFFFFF"/>
            <w:noWrap/>
            <w:vAlign w:val="center"/>
            <w:hideMark/>
          </w:tcPr>
          <w:p w14:paraId="761BBE5E" w14:textId="77777777" w:rsidR="00D028ED" w:rsidRPr="003C3066" w:rsidRDefault="00D028ED" w:rsidP="00D028ED">
            <w:pPr>
              <w:tabs>
                <w:tab w:val="clear" w:pos="1134"/>
                <w:tab w:val="left" w:pos="1418"/>
              </w:tabs>
              <w:spacing w:before="100" w:after="100"/>
              <w:ind w:firstLineChars="200" w:firstLine="8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1498" w:type="pct"/>
            <w:tcBorders>
              <w:top w:val="dotted" w:sz="4" w:space="0" w:color="auto"/>
              <w:left w:val="nil"/>
              <w:bottom w:val="single" w:sz="4" w:space="0" w:color="auto"/>
              <w:right w:val="nil"/>
            </w:tcBorders>
            <w:shd w:val="clear" w:color="000000" w:fill="FFFFFF"/>
            <w:noWrap/>
            <w:vAlign w:val="center"/>
            <w:hideMark/>
          </w:tcPr>
          <w:p w14:paraId="21632199"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3E2DDE35" w14:textId="77777777" w:rsidTr="00642968">
        <w:trPr>
          <w:trHeight w:val="259"/>
          <w:jc w:val="center"/>
        </w:trPr>
        <w:tc>
          <w:tcPr>
            <w:tcW w:w="3502" w:type="pct"/>
            <w:tcBorders>
              <w:top w:val="single" w:sz="4" w:space="0" w:color="auto"/>
              <w:left w:val="nil"/>
              <w:bottom w:val="single" w:sz="4" w:space="0" w:color="auto"/>
              <w:right w:val="nil"/>
            </w:tcBorders>
            <w:shd w:val="clear" w:color="000000" w:fill="FFFFFF"/>
            <w:noWrap/>
            <w:vAlign w:val="center"/>
            <w:hideMark/>
          </w:tcPr>
          <w:p w14:paraId="48FE15C1" w14:textId="77777777" w:rsidR="00D028ED" w:rsidRPr="003C3066" w:rsidRDefault="00D028ED" w:rsidP="00D028ED">
            <w:pPr>
              <w:tabs>
                <w:tab w:val="clear" w:pos="1134"/>
                <w:tab w:val="left" w:pos="1418"/>
              </w:tabs>
              <w:spacing w:before="100" w:after="100"/>
              <w:ind w:firstLineChars="100" w:firstLine="201"/>
              <w:jc w:val="left"/>
              <w:rPr>
                <w:rFonts w:eastAsia="Times New Roman" w:cs="Calibri"/>
                <w:b/>
                <w:bCs/>
                <w:color w:val="000000"/>
                <w:szCs w:val="22"/>
                <w:lang w:eastAsia="zh-CN"/>
              </w:rPr>
            </w:pPr>
            <w:r w:rsidRPr="003C3066">
              <w:rPr>
                <w:rFonts w:eastAsia="Times New Roman" w:cs="Calibri"/>
                <w:b/>
                <w:color w:val="000000"/>
                <w:szCs w:val="22"/>
              </w:rPr>
              <w:t>Total</w:t>
            </w:r>
          </w:p>
        </w:tc>
        <w:tc>
          <w:tcPr>
            <w:tcW w:w="1498" w:type="pct"/>
            <w:tcBorders>
              <w:top w:val="single" w:sz="4" w:space="0" w:color="auto"/>
              <w:left w:val="nil"/>
              <w:bottom w:val="single" w:sz="4" w:space="0" w:color="auto"/>
              <w:right w:val="nil"/>
            </w:tcBorders>
            <w:shd w:val="clear" w:color="000000" w:fill="FFFFFF"/>
            <w:noWrap/>
            <w:vAlign w:val="center"/>
            <w:hideMark/>
          </w:tcPr>
          <w:p w14:paraId="56957171" w14:textId="7E858E38" w:rsidR="00D028ED" w:rsidRPr="003C3066" w:rsidRDefault="00D028ED" w:rsidP="00D028ED">
            <w:pPr>
              <w:tabs>
                <w:tab w:val="clear" w:pos="1134"/>
                <w:tab w:val="left" w:pos="1418"/>
              </w:tabs>
              <w:spacing w:before="100" w:after="100"/>
              <w:jc w:val="right"/>
              <w:rPr>
                <w:rFonts w:eastAsia="Times New Roman" w:cs="Calibri"/>
                <w:b/>
                <w:bCs/>
                <w:color w:val="000000"/>
                <w:szCs w:val="22"/>
              </w:rPr>
            </w:pPr>
            <w:r>
              <w:rPr>
                <w:b/>
              </w:rPr>
              <w:t>17</w:t>
            </w:r>
            <w:r w:rsidR="00D96802">
              <w:rPr>
                <w:b/>
              </w:rPr>
              <w:t xml:space="preserve"> </w:t>
            </w:r>
            <w:r>
              <w:rPr>
                <w:b/>
              </w:rPr>
              <w:t xml:space="preserve">000,0 </w:t>
            </w:r>
          </w:p>
        </w:tc>
      </w:tr>
    </w:tbl>
    <w:p w14:paraId="00B26F26" w14:textId="1D4B907E"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 xml:space="preserve">Esos otros recursos ordinarios tienen un mandato específico y no pueden ser utilizados por la organización para sufragar gastos reales </w:t>
      </w:r>
      <w:r w:rsidR="00A20826">
        <w:rPr>
          <w:rFonts w:eastAsiaTheme="minorHAnsi" w:cstheme="minorBidi"/>
          <w:lang w:val="es-ES"/>
        </w:rPr>
        <w:t xml:space="preserve">recurrentes </w:t>
      </w:r>
      <w:r w:rsidRPr="009D1B2C">
        <w:rPr>
          <w:rFonts w:eastAsiaTheme="minorHAnsi" w:cstheme="minorBidi"/>
          <w:lang w:val="es-ES"/>
        </w:rPr>
        <w:t>del presupuesto ordinario o destinarse a financiar actividades adicionales. Además, esos recursos actúan</w:t>
      </w:r>
      <w:r w:rsidR="00A20826">
        <w:rPr>
          <w:rFonts w:eastAsiaTheme="minorHAnsi" w:cstheme="minorBidi"/>
          <w:lang w:val="es-ES"/>
        </w:rPr>
        <w:t xml:space="preserve"> </w:t>
      </w:r>
      <w:r w:rsidRPr="009D1B2C">
        <w:rPr>
          <w:rFonts w:eastAsiaTheme="minorHAnsi" w:cstheme="minorBidi"/>
          <w:lang w:val="es-ES"/>
        </w:rPr>
        <w:t>estratégicamente como fuentes de capital adicionales de financiación en caso de retraso en la recaudación de contribuciones</w:t>
      </w:r>
      <w:r w:rsidR="00773565">
        <w:rPr>
          <w:rFonts w:eastAsiaTheme="minorHAnsi" w:cstheme="minorBidi"/>
          <w:lang w:val="es-ES"/>
        </w:rPr>
        <w:t>,</w:t>
      </w:r>
      <w:r w:rsidRPr="009D1B2C">
        <w:rPr>
          <w:rFonts w:eastAsiaTheme="minorHAnsi" w:cstheme="minorBidi"/>
          <w:lang w:val="es-ES"/>
        </w:rPr>
        <w:t xml:space="preserve"> una vez que se consuma el fondo de operaciones.</w:t>
      </w:r>
    </w:p>
    <w:p w14:paraId="585EBAC0"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eastAsia="zh-CN"/>
        </w:rPr>
      </w:pPr>
      <w:bookmarkStart w:id="16" w:name="_Toc121390464"/>
      <w:r w:rsidRPr="003C3066">
        <w:rPr>
          <w:rFonts w:eastAsiaTheme="majorEastAsia" w:cstheme="majorBidi"/>
          <w:b/>
        </w:rPr>
        <w:t>Otros recursos extrapresupuestarios</w:t>
      </w:r>
      <w:bookmarkEnd w:id="16"/>
    </w:p>
    <w:p w14:paraId="452F4F90" w14:textId="5411A1B6"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lang w:val="es-ES"/>
        </w:rPr>
        <w:t>La OMM gestiona un importante volumen de fondos extrapresupuestarios estimados en 25 millones de francos suizos</w:t>
      </w:r>
      <w:r w:rsidRPr="003C3066">
        <w:rPr>
          <w:rFonts w:eastAsiaTheme="minorHAnsi" w:cstheme="minorBidi"/>
          <w:vertAlign w:val="superscript"/>
        </w:rPr>
        <w:footnoteReference w:id="5"/>
      </w:r>
      <w:r w:rsidRPr="009D1B2C">
        <w:rPr>
          <w:lang w:val="es-ES"/>
        </w:rPr>
        <w:t xml:space="preserve"> anuales, lo que representa, en promedio, el 25 % de los recursos totales. Las actividades de apoyo a los fondos extrapresupuestarios que están directamente en consonancia con el Plan Estratégico y se utilizan para proyectos específicos acordados entre la OMM y los donantes. </w:t>
      </w:r>
      <w:r w:rsidR="00AC6BED">
        <w:rPr>
          <w:lang w:val="es-ES"/>
        </w:rPr>
        <w:t>“</w:t>
      </w:r>
      <w:r w:rsidRPr="009D1B2C">
        <w:rPr>
          <w:lang w:val="es-ES"/>
        </w:rPr>
        <w:t xml:space="preserve">Se proporciona un fondo extrapresupuestario para apoyar a la OMM en una de las cuatro categorías siguientes: i) complementando las actividades del programa del presupuesto ordinario; ii) financiando actividades específicas como conferencias importantes o actividades específicas; iii) financiando el desarrollo de </w:t>
      </w:r>
      <w:r w:rsidRPr="009D1B2C">
        <w:rPr>
          <w:lang w:val="es-ES"/>
        </w:rPr>
        <w:lastRenderedPageBreak/>
        <w:t>capacidad y la cooperación técnica para países, subregiones o regiones específicos; y iv) apoyando actividades técnicas de propiedad nacional definidas, en coordinación con la OMM, por el país contribuyente en beneficio</w:t>
      </w:r>
      <w:r w:rsidR="00AC6BED">
        <w:rPr>
          <w:lang w:val="es-ES"/>
        </w:rPr>
        <w:t>.”</w:t>
      </w:r>
      <w:r w:rsidRPr="009D1B2C">
        <w:rPr>
          <w:lang w:val="es-ES"/>
        </w:rPr>
        <w:t xml:space="preserve"> Esta clasificación se ajusta a los informes de segmentos de los estados financieros de la OMM conforme a lo establecido en las Normas Internacionales </w:t>
      </w:r>
      <w:r w:rsidR="00FE7BB4">
        <w:rPr>
          <w:lang w:val="es-ES"/>
        </w:rPr>
        <w:t xml:space="preserve">de Contabilidad </w:t>
      </w:r>
      <w:r w:rsidRPr="009D1B2C">
        <w:rPr>
          <w:lang w:val="es-ES"/>
        </w:rPr>
        <w:t>para el Sector Público (IPSAS).</w:t>
      </w:r>
    </w:p>
    <w:p w14:paraId="430C1743" w14:textId="380523CE"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 xml:space="preserve">En el cuadro 10 se presenta </w:t>
      </w:r>
      <w:r w:rsidR="009727AE">
        <w:rPr>
          <w:rFonts w:eastAsiaTheme="minorHAnsi" w:cstheme="minorBidi"/>
          <w:lang w:val="es-ES"/>
        </w:rPr>
        <w:t>un pronóstico</w:t>
      </w:r>
      <w:r w:rsidRPr="009D1B2C">
        <w:rPr>
          <w:rFonts w:eastAsiaTheme="minorHAnsi" w:cstheme="minorBidi"/>
          <w:lang w:val="es-ES"/>
        </w:rPr>
        <w:t xml:space="preserve"> de alto nivel </w:t>
      </w:r>
      <w:r w:rsidR="00F15009">
        <w:rPr>
          <w:rFonts w:eastAsiaTheme="minorHAnsi" w:cstheme="minorBidi"/>
          <w:lang w:val="es-ES"/>
        </w:rPr>
        <w:t>de la cantidad</w:t>
      </w:r>
      <w:r w:rsidRPr="009D1B2C">
        <w:rPr>
          <w:rFonts w:eastAsiaTheme="minorHAnsi" w:cstheme="minorBidi"/>
          <w:lang w:val="es-ES"/>
        </w:rPr>
        <w:t xml:space="preserve"> de recursos que se espera que la organización utilice </w:t>
      </w:r>
      <w:r w:rsidR="00D470E4">
        <w:rPr>
          <w:rFonts w:eastAsiaTheme="minorHAnsi" w:cstheme="minorBidi"/>
          <w:lang w:val="es-ES"/>
        </w:rPr>
        <w:t xml:space="preserve">mediante los </w:t>
      </w:r>
      <w:r w:rsidRPr="009D1B2C">
        <w:rPr>
          <w:rFonts w:eastAsiaTheme="minorHAnsi" w:cstheme="minorBidi"/>
          <w:lang w:val="es-ES"/>
        </w:rPr>
        <w:t xml:space="preserve">recursos extrapresupuestarios durante el </w:t>
      </w:r>
      <w:r w:rsidR="00D470E4">
        <w:rPr>
          <w:rFonts w:eastAsiaTheme="minorHAnsi" w:cstheme="minorBidi"/>
          <w:lang w:val="es-ES"/>
        </w:rPr>
        <w:t>ejercicio económico</w:t>
      </w:r>
      <w:r w:rsidRPr="009D1B2C">
        <w:rPr>
          <w:rFonts w:eastAsiaTheme="minorHAnsi" w:cstheme="minorBidi"/>
          <w:lang w:val="es-ES"/>
        </w:rPr>
        <w:t xml:space="preserve"> 2024-2027:</w:t>
      </w:r>
    </w:p>
    <w:p w14:paraId="41E537E9" w14:textId="35D1573A" w:rsidR="00D028ED" w:rsidRPr="009D1B2C" w:rsidRDefault="00D028ED" w:rsidP="00D028ED">
      <w:pPr>
        <w:tabs>
          <w:tab w:val="clear" w:pos="1134"/>
          <w:tab w:val="left" w:pos="1418"/>
        </w:tabs>
        <w:spacing w:after="200"/>
        <w:jc w:val="center"/>
        <w:rPr>
          <w:rFonts w:eastAsiaTheme="minorEastAsia" w:cstheme="minorBidi"/>
          <w:i/>
          <w:szCs w:val="22"/>
          <w:lang w:val="es-ES" w:eastAsia="zh-CN"/>
        </w:rPr>
      </w:pPr>
      <w:r w:rsidRPr="009D1B2C">
        <w:rPr>
          <w:rFonts w:eastAsiaTheme="minorEastAsia" w:cstheme="minorBidi"/>
          <w:b/>
          <w:szCs w:val="22"/>
          <w:lang w:val="es-ES"/>
        </w:rPr>
        <w:t xml:space="preserve">Cuadro 10 </w:t>
      </w:r>
      <w:r w:rsidRPr="009D1B2C">
        <w:rPr>
          <w:rFonts w:eastAsiaTheme="minorEastAsia" w:cstheme="minorBidi"/>
          <w:b/>
          <w:i/>
          <w:szCs w:val="22"/>
          <w:lang w:val="es-ES"/>
        </w:rPr>
        <w:br/>
      </w:r>
      <w:r w:rsidRPr="009D1B2C">
        <w:rPr>
          <w:rFonts w:eastAsiaTheme="minorEastAsia" w:cstheme="minorBidi"/>
          <w:b/>
          <w:szCs w:val="22"/>
          <w:lang w:val="es-ES"/>
        </w:rPr>
        <w:t>Recursos extrapresupuestarios</w:t>
      </w:r>
      <w:r w:rsidRPr="009D1B2C">
        <w:rPr>
          <w:rFonts w:eastAsiaTheme="minorEastAsia" w:cstheme="minorBidi"/>
          <w:b/>
          <w:szCs w:val="22"/>
          <w:lang w:val="es-ES"/>
        </w:rPr>
        <w:br/>
      </w:r>
      <w:r w:rsidRPr="009D1B2C">
        <w:rPr>
          <w:rFonts w:eastAsiaTheme="minorEastAsia" w:cstheme="minorBidi"/>
          <w:i/>
          <w:szCs w:val="22"/>
          <w:lang w:val="es-ES"/>
        </w:rPr>
        <w:t xml:space="preserve"> (montos en miles de francos suizos)</w:t>
      </w:r>
    </w:p>
    <w:p w14:paraId="119EC5EE" w14:textId="77777777" w:rsidR="00D028ED" w:rsidRPr="009D1B2C" w:rsidRDefault="00D028ED" w:rsidP="00D028ED">
      <w:pPr>
        <w:tabs>
          <w:tab w:val="clear" w:pos="1134"/>
          <w:tab w:val="left" w:pos="1418"/>
        </w:tabs>
        <w:spacing w:after="200"/>
        <w:jc w:val="left"/>
        <w:rPr>
          <w:rFonts w:ascii="Times New Roman" w:eastAsia="MS Mincho" w:hAnsi="Times New Roman" w:cs="Times New Roman"/>
          <w:szCs w:val="22"/>
          <w:lang w:val="es-ES" w:eastAsia="zh-TW"/>
        </w:rPr>
      </w:pPr>
      <w:r w:rsidRPr="003C3066">
        <w:rPr>
          <w:rFonts w:eastAsiaTheme="minorEastAsia" w:cstheme="minorBidi"/>
          <w:noProof/>
          <w:szCs w:val="22"/>
        </w:rPr>
        <w:fldChar w:fldCharType="begin"/>
      </w:r>
      <w:r w:rsidRPr="009D1B2C">
        <w:rPr>
          <w:rFonts w:eastAsiaTheme="minorEastAsia" w:cstheme="minorBidi"/>
          <w:noProof/>
          <w:szCs w:val="22"/>
          <w:lang w:val="es-ES"/>
        </w:rPr>
        <w:instrText xml:space="preserve"> LINK Excel.Sheet.12 "https://wmoomm.sharepoint.com/sites/GS-Finance/Shared%20Documents/Finance/Budget/2024-2027/TABLE%20FOR%20DOCUMENT.xlsx" "table 10!R3C1:R14C3" \a \f 4 \h  \* MERGEFORMAT </w:instrText>
      </w:r>
      <w:r w:rsidRPr="003C3066">
        <w:rPr>
          <w:rFonts w:eastAsiaTheme="minorEastAsia" w:cstheme="minorBidi"/>
          <w:noProof/>
          <w:szCs w:val="22"/>
        </w:rPr>
        <w:fldChar w:fldCharType="separate"/>
      </w:r>
    </w:p>
    <w:tbl>
      <w:tblPr>
        <w:tblW w:w="5000" w:type="pct"/>
        <w:tblLayout w:type="fixed"/>
        <w:tblLook w:val="04A0" w:firstRow="1" w:lastRow="0" w:firstColumn="1" w:lastColumn="0" w:noHBand="0" w:noVBand="1"/>
      </w:tblPr>
      <w:tblGrid>
        <w:gridCol w:w="7360"/>
        <w:gridCol w:w="2279"/>
      </w:tblGrid>
      <w:tr w:rsidR="00D028ED" w:rsidRPr="003C3066" w14:paraId="72B6CA75" w14:textId="77777777" w:rsidTr="00642968">
        <w:trPr>
          <w:trHeight w:val="750"/>
        </w:trPr>
        <w:tc>
          <w:tcPr>
            <w:tcW w:w="3818" w:type="pct"/>
            <w:tcBorders>
              <w:top w:val="single" w:sz="4" w:space="0" w:color="auto"/>
              <w:left w:val="nil"/>
              <w:bottom w:val="single" w:sz="4" w:space="0" w:color="auto"/>
              <w:right w:val="nil"/>
            </w:tcBorders>
            <w:shd w:val="clear" w:color="auto" w:fill="F2F2F2" w:themeFill="background1" w:themeFillShade="F2"/>
            <w:vAlign w:val="center"/>
            <w:hideMark/>
          </w:tcPr>
          <w:p w14:paraId="131BFE9A" w14:textId="77777777" w:rsidR="00D028ED" w:rsidRPr="0076566F" w:rsidRDefault="00D028ED" w:rsidP="00D028ED">
            <w:pPr>
              <w:tabs>
                <w:tab w:val="clear" w:pos="1134"/>
                <w:tab w:val="left" w:pos="1418"/>
              </w:tabs>
              <w:spacing w:before="100" w:after="100"/>
              <w:ind w:firstLineChars="100" w:firstLine="181"/>
              <w:jc w:val="left"/>
              <w:rPr>
                <w:rFonts w:eastAsia="Times New Roman" w:cs="Calibri"/>
                <w:b/>
                <w:bCs/>
                <w:color w:val="000000"/>
                <w:sz w:val="18"/>
                <w:szCs w:val="18"/>
                <w:lang w:val="es-ES" w:eastAsia="zh-CN"/>
              </w:rPr>
            </w:pPr>
            <w:r w:rsidRPr="0076566F">
              <w:rPr>
                <w:rFonts w:eastAsia="Times New Roman" w:cs="Calibri"/>
                <w:b/>
                <w:color w:val="000000"/>
                <w:sz w:val="18"/>
                <w:szCs w:val="18"/>
                <w:lang w:val="es-ES"/>
              </w:rPr>
              <w:t>Recursos extrapresupuestarios desglosados por partidas presupuestarias</w:t>
            </w:r>
          </w:p>
        </w:tc>
        <w:tc>
          <w:tcPr>
            <w:tcW w:w="1182" w:type="pct"/>
            <w:tcBorders>
              <w:top w:val="single" w:sz="4" w:space="0" w:color="auto"/>
              <w:left w:val="nil"/>
              <w:bottom w:val="single" w:sz="4" w:space="0" w:color="auto"/>
              <w:right w:val="nil"/>
            </w:tcBorders>
            <w:shd w:val="clear" w:color="auto" w:fill="F2F2F2" w:themeFill="background1" w:themeFillShade="F2"/>
            <w:vAlign w:val="center"/>
            <w:hideMark/>
          </w:tcPr>
          <w:p w14:paraId="340303D5" w14:textId="77777777" w:rsidR="00D028ED" w:rsidRPr="003C3066" w:rsidRDefault="00D028ED" w:rsidP="00D028ED">
            <w:pPr>
              <w:tabs>
                <w:tab w:val="clear" w:pos="1134"/>
                <w:tab w:val="left" w:pos="1418"/>
              </w:tabs>
              <w:spacing w:before="100" w:after="100"/>
              <w:jc w:val="center"/>
              <w:rPr>
                <w:rFonts w:eastAsia="Times New Roman" w:cs="Calibri"/>
                <w:b/>
                <w:bCs/>
                <w:color w:val="000000"/>
                <w:sz w:val="18"/>
                <w:szCs w:val="18"/>
                <w:lang w:eastAsia="zh-CN"/>
              </w:rPr>
            </w:pPr>
            <w:r w:rsidRPr="003C3066">
              <w:rPr>
                <w:rFonts w:eastAsia="Times New Roman" w:cs="Calibri"/>
                <w:b/>
                <w:color w:val="000000"/>
                <w:sz w:val="18"/>
                <w:szCs w:val="18"/>
              </w:rPr>
              <w:t>Recursos estimados para 2024-2027</w:t>
            </w:r>
          </w:p>
        </w:tc>
      </w:tr>
      <w:tr w:rsidR="00D028ED" w:rsidRPr="003C3066" w14:paraId="044FE883" w14:textId="77777777" w:rsidTr="00642968">
        <w:trPr>
          <w:trHeight w:val="240"/>
        </w:trPr>
        <w:tc>
          <w:tcPr>
            <w:tcW w:w="3818" w:type="pct"/>
            <w:tcBorders>
              <w:top w:val="single" w:sz="4" w:space="0" w:color="auto"/>
              <w:left w:val="nil"/>
              <w:bottom w:val="dotted" w:sz="4" w:space="0" w:color="auto"/>
              <w:right w:val="nil"/>
            </w:tcBorders>
            <w:shd w:val="clear" w:color="000000" w:fill="FFFFFF"/>
            <w:noWrap/>
            <w:vAlign w:val="center"/>
            <w:hideMark/>
          </w:tcPr>
          <w:p w14:paraId="6981E0AA" w14:textId="77777777" w:rsidR="00D028ED" w:rsidRPr="003C3066" w:rsidRDefault="00D028ED" w:rsidP="00D028ED">
            <w:pPr>
              <w:tabs>
                <w:tab w:val="clear" w:pos="1134"/>
                <w:tab w:val="left" w:pos="1418"/>
              </w:tabs>
              <w:spacing w:before="100" w:after="100"/>
              <w:ind w:firstLineChars="200" w:firstLine="8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1182" w:type="pct"/>
            <w:tcBorders>
              <w:top w:val="single" w:sz="4" w:space="0" w:color="auto"/>
              <w:left w:val="nil"/>
              <w:bottom w:val="dotted" w:sz="4" w:space="0" w:color="auto"/>
              <w:right w:val="nil"/>
            </w:tcBorders>
            <w:shd w:val="clear" w:color="000000" w:fill="FFFFFF"/>
            <w:noWrap/>
            <w:vAlign w:val="center"/>
            <w:hideMark/>
          </w:tcPr>
          <w:p w14:paraId="3694C4D5"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101EFC7B" w14:textId="77777777" w:rsidTr="00642968">
        <w:trPr>
          <w:trHeight w:val="330"/>
        </w:trPr>
        <w:tc>
          <w:tcPr>
            <w:tcW w:w="3818" w:type="pct"/>
            <w:tcBorders>
              <w:top w:val="dotted" w:sz="4" w:space="0" w:color="auto"/>
              <w:left w:val="nil"/>
              <w:bottom w:val="dotted" w:sz="4" w:space="0" w:color="auto"/>
              <w:right w:val="nil"/>
            </w:tcBorders>
            <w:shd w:val="clear" w:color="000000" w:fill="FFFFFF"/>
            <w:noWrap/>
            <w:vAlign w:val="center"/>
            <w:hideMark/>
          </w:tcPr>
          <w:p w14:paraId="0897A7DC" w14:textId="58523C61" w:rsidR="00D028ED" w:rsidRPr="0076566F" w:rsidRDefault="00D028ED" w:rsidP="00D028ED">
            <w:pPr>
              <w:tabs>
                <w:tab w:val="clear" w:pos="1134"/>
                <w:tab w:val="left" w:pos="1418"/>
              </w:tabs>
              <w:spacing w:before="100" w:after="100"/>
              <w:jc w:val="left"/>
              <w:rPr>
                <w:rFonts w:eastAsia="Times New Roman" w:cs="Calibri"/>
                <w:color w:val="000000"/>
                <w:sz w:val="18"/>
                <w:szCs w:val="18"/>
                <w:lang w:val="es-ES"/>
              </w:rPr>
            </w:pPr>
            <w:r w:rsidRPr="0076566F">
              <w:rPr>
                <w:lang w:val="es-ES"/>
              </w:rPr>
              <w:t xml:space="preserve">Partida I. </w:t>
            </w:r>
            <w:r w:rsidR="005A4435">
              <w:rPr>
                <w:lang w:val="es-ES"/>
              </w:rPr>
              <w:t>Objetivo</w:t>
            </w:r>
            <w:r w:rsidRPr="0076566F">
              <w:rPr>
                <w:lang w:val="es-ES"/>
              </w:rPr>
              <w:t xml:space="preserve"> a largo plazo 1. Mejora de la atención de las necesidades de la sociedad</w:t>
            </w:r>
          </w:p>
        </w:tc>
        <w:tc>
          <w:tcPr>
            <w:tcW w:w="1182" w:type="pct"/>
            <w:tcBorders>
              <w:top w:val="dotted" w:sz="4" w:space="0" w:color="auto"/>
              <w:left w:val="nil"/>
              <w:bottom w:val="dotted" w:sz="4" w:space="0" w:color="auto"/>
              <w:right w:val="nil"/>
            </w:tcBorders>
            <w:shd w:val="clear" w:color="000000" w:fill="FFFFFF"/>
            <w:noWrap/>
            <w:vAlign w:val="center"/>
            <w:hideMark/>
          </w:tcPr>
          <w:p w14:paraId="3D0F543A" w14:textId="19F45EA8"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50</w:t>
            </w:r>
            <w:r w:rsidR="005A4435">
              <w:t xml:space="preserve"> </w:t>
            </w:r>
            <w:r>
              <w:t xml:space="preserve">280,0 </w:t>
            </w:r>
          </w:p>
        </w:tc>
      </w:tr>
      <w:tr w:rsidR="00D028ED" w:rsidRPr="003C3066" w14:paraId="75247C44" w14:textId="77777777" w:rsidTr="00642968">
        <w:trPr>
          <w:trHeight w:val="330"/>
        </w:trPr>
        <w:tc>
          <w:tcPr>
            <w:tcW w:w="3818" w:type="pct"/>
            <w:tcBorders>
              <w:top w:val="dotted" w:sz="4" w:space="0" w:color="auto"/>
              <w:left w:val="nil"/>
              <w:bottom w:val="dotted" w:sz="4" w:space="0" w:color="auto"/>
              <w:right w:val="nil"/>
            </w:tcBorders>
            <w:shd w:val="clear" w:color="000000" w:fill="FFFFFF"/>
            <w:noWrap/>
            <w:vAlign w:val="center"/>
            <w:hideMark/>
          </w:tcPr>
          <w:p w14:paraId="0FC8B222" w14:textId="329D3878" w:rsidR="00D028ED" w:rsidRPr="0076566F" w:rsidRDefault="005A4435" w:rsidP="00D028ED">
            <w:pPr>
              <w:tabs>
                <w:tab w:val="clear" w:pos="1134"/>
                <w:tab w:val="left" w:pos="1418"/>
              </w:tabs>
              <w:spacing w:before="100" w:after="100"/>
              <w:jc w:val="left"/>
              <w:rPr>
                <w:rFonts w:eastAsia="Times New Roman" w:cs="Calibri"/>
                <w:color w:val="000000"/>
                <w:sz w:val="18"/>
                <w:szCs w:val="18"/>
                <w:lang w:val="es-ES"/>
              </w:rPr>
            </w:pPr>
            <w:r w:rsidRPr="0076566F">
              <w:rPr>
                <w:lang w:val="es-ES"/>
              </w:rPr>
              <w:t xml:space="preserve">Partida </w:t>
            </w:r>
            <w:r w:rsidR="00D028ED" w:rsidRPr="0076566F">
              <w:rPr>
                <w:lang w:val="es-ES"/>
              </w:rPr>
              <w:t xml:space="preserve">II. </w:t>
            </w:r>
            <w:r>
              <w:rPr>
                <w:lang w:val="es-ES"/>
              </w:rPr>
              <w:t>Objetivo</w:t>
            </w:r>
            <w:r w:rsidRPr="0076566F">
              <w:rPr>
                <w:lang w:val="es-ES"/>
              </w:rPr>
              <w:t xml:space="preserve"> </w:t>
            </w:r>
            <w:r w:rsidR="00D028ED" w:rsidRPr="0076566F">
              <w:rPr>
                <w:lang w:val="es-ES"/>
              </w:rPr>
              <w:t>a largo plazo 2. Mejora de las observaciones y las predicciones del sistema Tierra</w:t>
            </w:r>
          </w:p>
        </w:tc>
        <w:tc>
          <w:tcPr>
            <w:tcW w:w="1182" w:type="pct"/>
            <w:tcBorders>
              <w:top w:val="dotted" w:sz="4" w:space="0" w:color="auto"/>
              <w:left w:val="nil"/>
              <w:bottom w:val="dotted" w:sz="4" w:space="0" w:color="auto"/>
              <w:right w:val="nil"/>
            </w:tcBorders>
            <w:shd w:val="clear" w:color="000000" w:fill="FFFFFF"/>
            <w:noWrap/>
            <w:vAlign w:val="center"/>
            <w:hideMark/>
          </w:tcPr>
          <w:p w14:paraId="216685B7" w14:textId="5119C743"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10</w:t>
            </w:r>
            <w:r w:rsidR="0094797C">
              <w:t xml:space="preserve"> </w:t>
            </w:r>
            <w:r>
              <w:t xml:space="preserve">370,0 </w:t>
            </w:r>
          </w:p>
        </w:tc>
      </w:tr>
      <w:tr w:rsidR="00D028ED" w:rsidRPr="003C3066" w14:paraId="201806E0" w14:textId="77777777" w:rsidTr="00642968">
        <w:trPr>
          <w:trHeight w:val="330"/>
        </w:trPr>
        <w:tc>
          <w:tcPr>
            <w:tcW w:w="3818" w:type="pct"/>
            <w:tcBorders>
              <w:top w:val="dotted" w:sz="4" w:space="0" w:color="auto"/>
              <w:left w:val="nil"/>
              <w:bottom w:val="dotted" w:sz="4" w:space="0" w:color="auto"/>
              <w:right w:val="nil"/>
            </w:tcBorders>
            <w:shd w:val="clear" w:color="000000" w:fill="FFFFFF"/>
            <w:noWrap/>
            <w:vAlign w:val="center"/>
            <w:hideMark/>
          </w:tcPr>
          <w:p w14:paraId="13C04527" w14:textId="1C50FFB2" w:rsidR="00D028ED" w:rsidRPr="005A4435" w:rsidRDefault="005A4435" w:rsidP="00D028ED">
            <w:pPr>
              <w:tabs>
                <w:tab w:val="clear" w:pos="1134"/>
                <w:tab w:val="left" w:pos="1418"/>
              </w:tabs>
              <w:spacing w:before="100" w:after="100"/>
              <w:jc w:val="left"/>
              <w:rPr>
                <w:rFonts w:eastAsia="Times New Roman" w:cs="Calibri"/>
                <w:color w:val="000000"/>
                <w:sz w:val="18"/>
                <w:szCs w:val="18"/>
                <w:lang w:val="es-ES"/>
              </w:rPr>
            </w:pPr>
            <w:r w:rsidRPr="0076566F">
              <w:rPr>
                <w:lang w:val="es-ES"/>
              </w:rPr>
              <w:t xml:space="preserve">Partida </w:t>
            </w:r>
            <w:r w:rsidR="00D028ED" w:rsidRPr="0076566F">
              <w:rPr>
                <w:lang w:val="es-ES"/>
              </w:rPr>
              <w:t xml:space="preserve">III. </w:t>
            </w:r>
            <w:r>
              <w:rPr>
                <w:lang w:val="es-ES"/>
              </w:rPr>
              <w:t>Objetivo</w:t>
            </w:r>
            <w:r w:rsidRPr="0076566F">
              <w:rPr>
                <w:lang w:val="es-ES"/>
              </w:rPr>
              <w:t xml:space="preserve"> </w:t>
            </w:r>
            <w:r w:rsidR="00D028ED" w:rsidRPr="0076566F">
              <w:rPr>
                <w:lang w:val="es-ES"/>
              </w:rPr>
              <w:t xml:space="preserve">a largo plazo 3. </w:t>
            </w:r>
            <w:r w:rsidR="00D028ED" w:rsidRPr="005A4435">
              <w:rPr>
                <w:lang w:val="es-ES"/>
              </w:rPr>
              <w:t>Promoción de investigaciones específicas</w:t>
            </w:r>
          </w:p>
        </w:tc>
        <w:tc>
          <w:tcPr>
            <w:tcW w:w="1182" w:type="pct"/>
            <w:tcBorders>
              <w:top w:val="dotted" w:sz="4" w:space="0" w:color="auto"/>
              <w:left w:val="nil"/>
              <w:bottom w:val="dotted" w:sz="4" w:space="0" w:color="auto"/>
              <w:right w:val="nil"/>
            </w:tcBorders>
            <w:shd w:val="clear" w:color="000000" w:fill="FFFFFF"/>
            <w:noWrap/>
            <w:vAlign w:val="center"/>
            <w:hideMark/>
          </w:tcPr>
          <w:p w14:paraId="522993CD" w14:textId="0A025FBE"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4</w:t>
            </w:r>
            <w:r w:rsidR="0094797C">
              <w:t xml:space="preserve"> </w:t>
            </w:r>
            <w:r>
              <w:t xml:space="preserve">240,0 </w:t>
            </w:r>
          </w:p>
        </w:tc>
      </w:tr>
      <w:tr w:rsidR="00D028ED" w:rsidRPr="003C3066" w14:paraId="43504EDD" w14:textId="77777777" w:rsidTr="00642968">
        <w:trPr>
          <w:trHeight w:val="330"/>
        </w:trPr>
        <w:tc>
          <w:tcPr>
            <w:tcW w:w="3818" w:type="pct"/>
            <w:tcBorders>
              <w:top w:val="dotted" w:sz="4" w:space="0" w:color="auto"/>
              <w:left w:val="nil"/>
              <w:bottom w:val="dotted" w:sz="4" w:space="0" w:color="auto"/>
              <w:right w:val="nil"/>
            </w:tcBorders>
            <w:shd w:val="clear" w:color="000000" w:fill="FFFFFF"/>
            <w:noWrap/>
            <w:vAlign w:val="center"/>
            <w:hideMark/>
          </w:tcPr>
          <w:p w14:paraId="54CC8C53" w14:textId="1A0B0749" w:rsidR="00D028ED" w:rsidRPr="0076566F" w:rsidRDefault="005A4435" w:rsidP="00D028ED">
            <w:pPr>
              <w:tabs>
                <w:tab w:val="clear" w:pos="1134"/>
                <w:tab w:val="left" w:pos="1418"/>
              </w:tabs>
              <w:spacing w:before="100" w:after="100"/>
              <w:jc w:val="left"/>
              <w:rPr>
                <w:rFonts w:eastAsia="Times New Roman" w:cs="Calibri"/>
                <w:color w:val="000000"/>
                <w:sz w:val="18"/>
                <w:szCs w:val="18"/>
                <w:lang w:val="es-ES"/>
              </w:rPr>
            </w:pPr>
            <w:r w:rsidRPr="0076566F">
              <w:rPr>
                <w:lang w:val="es-ES"/>
              </w:rPr>
              <w:t xml:space="preserve">Partida </w:t>
            </w:r>
            <w:r w:rsidR="00D028ED" w:rsidRPr="0076566F">
              <w:rPr>
                <w:lang w:val="es-ES"/>
              </w:rPr>
              <w:t xml:space="preserve">IV. </w:t>
            </w:r>
            <w:r>
              <w:rPr>
                <w:lang w:val="es-ES"/>
              </w:rPr>
              <w:t>Objetivo</w:t>
            </w:r>
            <w:r w:rsidRPr="0076566F">
              <w:rPr>
                <w:lang w:val="es-ES"/>
              </w:rPr>
              <w:t xml:space="preserve"> </w:t>
            </w:r>
            <w:r w:rsidR="00D028ED" w:rsidRPr="0076566F">
              <w:rPr>
                <w:lang w:val="es-ES"/>
              </w:rPr>
              <w:t>a largo plazo 4. Eliminación de las deficiencias de capacidad</w:t>
            </w:r>
          </w:p>
        </w:tc>
        <w:tc>
          <w:tcPr>
            <w:tcW w:w="1182" w:type="pct"/>
            <w:tcBorders>
              <w:top w:val="dotted" w:sz="4" w:space="0" w:color="auto"/>
              <w:left w:val="nil"/>
              <w:bottom w:val="dotted" w:sz="4" w:space="0" w:color="auto"/>
              <w:right w:val="nil"/>
            </w:tcBorders>
            <w:shd w:val="clear" w:color="000000" w:fill="FFFFFF"/>
            <w:noWrap/>
            <w:vAlign w:val="center"/>
            <w:hideMark/>
          </w:tcPr>
          <w:p w14:paraId="46303AE5" w14:textId="14E6F8CB"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31</w:t>
            </w:r>
            <w:r w:rsidR="0094797C">
              <w:t xml:space="preserve"> </w:t>
            </w:r>
            <w:r>
              <w:t xml:space="preserve">740,0 </w:t>
            </w:r>
          </w:p>
        </w:tc>
      </w:tr>
      <w:tr w:rsidR="00D028ED" w:rsidRPr="003C3066" w14:paraId="14F73D18" w14:textId="77777777" w:rsidTr="00642968">
        <w:trPr>
          <w:trHeight w:val="330"/>
        </w:trPr>
        <w:tc>
          <w:tcPr>
            <w:tcW w:w="3818" w:type="pct"/>
            <w:tcBorders>
              <w:top w:val="dotted" w:sz="4" w:space="0" w:color="auto"/>
              <w:left w:val="nil"/>
              <w:bottom w:val="dotted" w:sz="4" w:space="0" w:color="auto"/>
              <w:right w:val="nil"/>
            </w:tcBorders>
            <w:shd w:val="clear" w:color="000000" w:fill="FFFFFF"/>
            <w:noWrap/>
            <w:vAlign w:val="center"/>
            <w:hideMark/>
          </w:tcPr>
          <w:p w14:paraId="7AEE4ECC" w14:textId="485B1571" w:rsidR="00D028ED" w:rsidRPr="0076566F" w:rsidRDefault="00D028ED" w:rsidP="00D028ED">
            <w:pPr>
              <w:tabs>
                <w:tab w:val="clear" w:pos="1134"/>
                <w:tab w:val="left" w:pos="1418"/>
              </w:tabs>
              <w:spacing w:before="100" w:after="100"/>
              <w:jc w:val="left"/>
              <w:rPr>
                <w:rFonts w:eastAsia="Times New Roman" w:cs="Calibri"/>
                <w:color w:val="000000"/>
                <w:sz w:val="18"/>
                <w:szCs w:val="18"/>
                <w:lang w:val="es-ES"/>
              </w:rPr>
            </w:pPr>
            <w:r w:rsidRPr="0076566F">
              <w:rPr>
                <w:lang w:val="es-ES"/>
              </w:rPr>
              <w:t xml:space="preserve">Partida V. </w:t>
            </w:r>
            <w:r w:rsidR="005A4435">
              <w:rPr>
                <w:lang w:val="es-ES"/>
              </w:rPr>
              <w:t>Objetivo</w:t>
            </w:r>
            <w:r w:rsidR="005A4435" w:rsidRPr="0076566F">
              <w:rPr>
                <w:lang w:val="es-ES"/>
              </w:rPr>
              <w:t xml:space="preserve"> </w:t>
            </w:r>
            <w:r w:rsidRPr="0076566F">
              <w:rPr>
                <w:lang w:val="es-ES"/>
              </w:rPr>
              <w:t>a largo plazo 5. Reorientación estratégica de la estructura y los programas de la Organización Meteorológica Mundial</w:t>
            </w:r>
          </w:p>
        </w:tc>
        <w:tc>
          <w:tcPr>
            <w:tcW w:w="1182" w:type="pct"/>
            <w:tcBorders>
              <w:top w:val="dotted" w:sz="4" w:space="0" w:color="auto"/>
              <w:left w:val="nil"/>
              <w:bottom w:val="dotted" w:sz="4" w:space="0" w:color="auto"/>
              <w:right w:val="nil"/>
            </w:tcBorders>
            <w:shd w:val="clear" w:color="000000" w:fill="FFFFFF"/>
            <w:noWrap/>
            <w:vAlign w:val="center"/>
            <w:hideMark/>
          </w:tcPr>
          <w:p w14:paraId="2351D223" w14:textId="57379277"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2</w:t>
            </w:r>
            <w:r w:rsidR="0094797C">
              <w:t xml:space="preserve"> </w:t>
            </w:r>
            <w:r>
              <w:t xml:space="preserve">000,0 </w:t>
            </w:r>
          </w:p>
        </w:tc>
      </w:tr>
      <w:tr w:rsidR="00D028ED" w:rsidRPr="003C3066" w14:paraId="75FE7310" w14:textId="77777777" w:rsidTr="00642968">
        <w:trPr>
          <w:trHeight w:val="330"/>
        </w:trPr>
        <w:tc>
          <w:tcPr>
            <w:tcW w:w="3818" w:type="pct"/>
            <w:tcBorders>
              <w:top w:val="dotted" w:sz="4" w:space="0" w:color="auto"/>
              <w:left w:val="nil"/>
              <w:bottom w:val="dotted" w:sz="4" w:space="0" w:color="auto"/>
              <w:right w:val="nil"/>
            </w:tcBorders>
            <w:shd w:val="clear" w:color="000000" w:fill="FFFFFF"/>
            <w:noWrap/>
            <w:vAlign w:val="center"/>
            <w:hideMark/>
          </w:tcPr>
          <w:p w14:paraId="6BEF73EB" w14:textId="18BA1275" w:rsidR="00D028ED" w:rsidRPr="0076566F" w:rsidRDefault="005A4435" w:rsidP="00D028ED">
            <w:pPr>
              <w:tabs>
                <w:tab w:val="clear" w:pos="1134"/>
                <w:tab w:val="left" w:pos="1418"/>
              </w:tabs>
              <w:spacing w:before="100" w:after="100"/>
              <w:jc w:val="left"/>
              <w:rPr>
                <w:rFonts w:eastAsia="Times New Roman" w:cs="Calibri"/>
                <w:color w:val="000000"/>
                <w:sz w:val="18"/>
                <w:szCs w:val="18"/>
                <w:lang w:val="es-ES"/>
              </w:rPr>
            </w:pPr>
            <w:r w:rsidRPr="0076566F">
              <w:rPr>
                <w:lang w:val="es-ES"/>
              </w:rPr>
              <w:t xml:space="preserve">Partida </w:t>
            </w:r>
            <w:r w:rsidR="00D028ED" w:rsidRPr="0076566F">
              <w:rPr>
                <w:lang w:val="es-ES"/>
              </w:rPr>
              <w:t>VI. Órganos normativos, dirección ejecutiva y supervisión</w:t>
            </w:r>
          </w:p>
        </w:tc>
        <w:tc>
          <w:tcPr>
            <w:tcW w:w="1182" w:type="pct"/>
            <w:tcBorders>
              <w:top w:val="dotted" w:sz="4" w:space="0" w:color="auto"/>
              <w:left w:val="nil"/>
              <w:bottom w:val="dotted" w:sz="4" w:space="0" w:color="auto"/>
              <w:right w:val="nil"/>
            </w:tcBorders>
            <w:shd w:val="clear" w:color="000000" w:fill="FFFFFF"/>
            <w:noWrap/>
            <w:vAlign w:val="center"/>
            <w:hideMark/>
          </w:tcPr>
          <w:p w14:paraId="5C3EF308" w14:textId="7210BF6A"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1</w:t>
            </w:r>
            <w:r w:rsidR="0094797C">
              <w:t xml:space="preserve"> </w:t>
            </w:r>
            <w:r>
              <w:t xml:space="preserve">250,0 </w:t>
            </w:r>
          </w:p>
        </w:tc>
      </w:tr>
      <w:tr w:rsidR="00D028ED" w:rsidRPr="003C3066" w14:paraId="329A0B17" w14:textId="77777777" w:rsidTr="00642968">
        <w:trPr>
          <w:trHeight w:val="330"/>
        </w:trPr>
        <w:tc>
          <w:tcPr>
            <w:tcW w:w="3818" w:type="pct"/>
            <w:tcBorders>
              <w:top w:val="dotted" w:sz="4" w:space="0" w:color="auto"/>
              <w:left w:val="nil"/>
              <w:bottom w:val="dotted" w:sz="4" w:space="0" w:color="auto"/>
              <w:right w:val="nil"/>
            </w:tcBorders>
            <w:shd w:val="clear" w:color="000000" w:fill="FFFFFF"/>
            <w:noWrap/>
            <w:vAlign w:val="center"/>
            <w:hideMark/>
          </w:tcPr>
          <w:p w14:paraId="3D912200" w14:textId="2871C9F2" w:rsidR="00D028ED" w:rsidRPr="003C3066" w:rsidRDefault="005A4435" w:rsidP="00D028ED">
            <w:pPr>
              <w:tabs>
                <w:tab w:val="clear" w:pos="1134"/>
                <w:tab w:val="left" w:pos="1418"/>
              </w:tabs>
              <w:spacing w:before="100" w:after="100"/>
              <w:jc w:val="left"/>
              <w:rPr>
                <w:rFonts w:eastAsia="Times New Roman" w:cs="Calibri"/>
                <w:color w:val="000000"/>
                <w:sz w:val="18"/>
                <w:szCs w:val="18"/>
              </w:rPr>
            </w:pPr>
            <w:r w:rsidRPr="0076566F">
              <w:rPr>
                <w:lang w:val="es-ES"/>
              </w:rPr>
              <w:t xml:space="preserve">Partida </w:t>
            </w:r>
            <w:r w:rsidR="00D028ED">
              <w:t>VII. Servicios lingüísticos</w:t>
            </w:r>
          </w:p>
        </w:tc>
        <w:tc>
          <w:tcPr>
            <w:tcW w:w="1182" w:type="pct"/>
            <w:tcBorders>
              <w:top w:val="dotted" w:sz="4" w:space="0" w:color="auto"/>
              <w:left w:val="nil"/>
              <w:bottom w:val="dotted" w:sz="4" w:space="0" w:color="auto"/>
              <w:right w:val="nil"/>
            </w:tcBorders>
            <w:shd w:val="clear" w:color="000000" w:fill="FFFFFF"/>
            <w:noWrap/>
            <w:vAlign w:val="center"/>
            <w:hideMark/>
          </w:tcPr>
          <w:p w14:paraId="03D23724" w14:textId="77777777" w:rsidR="00D028ED" w:rsidRPr="003C3066" w:rsidRDefault="00D028ED" w:rsidP="00D028ED">
            <w:pPr>
              <w:tabs>
                <w:tab w:val="clear" w:pos="1134"/>
                <w:tab w:val="left" w:pos="1418"/>
              </w:tabs>
              <w:spacing w:before="100" w:after="100"/>
              <w:jc w:val="right"/>
              <w:rPr>
                <w:rFonts w:eastAsia="Times New Roman" w:cs="Calibri"/>
                <w:color w:val="000000"/>
                <w:sz w:val="18"/>
                <w:szCs w:val="18"/>
              </w:rPr>
            </w:pPr>
            <w:r>
              <w:t>120,0</w:t>
            </w:r>
          </w:p>
        </w:tc>
      </w:tr>
      <w:tr w:rsidR="00D028ED" w:rsidRPr="003C3066" w14:paraId="03D12677" w14:textId="77777777" w:rsidTr="00642968">
        <w:trPr>
          <w:trHeight w:val="135"/>
        </w:trPr>
        <w:tc>
          <w:tcPr>
            <w:tcW w:w="3818" w:type="pct"/>
            <w:tcBorders>
              <w:top w:val="dotted" w:sz="4" w:space="0" w:color="auto"/>
              <w:left w:val="nil"/>
              <w:bottom w:val="single" w:sz="4" w:space="0" w:color="auto"/>
              <w:right w:val="nil"/>
            </w:tcBorders>
            <w:shd w:val="clear" w:color="000000" w:fill="FFFFFF"/>
            <w:noWrap/>
            <w:vAlign w:val="center"/>
            <w:hideMark/>
          </w:tcPr>
          <w:p w14:paraId="5AA82EDF" w14:textId="77777777" w:rsidR="00D028ED" w:rsidRPr="003C3066" w:rsidRDefault="00D028ED" w:rsidP="00D028ED">
            <w:pPr>
              <w:tabs>
                <w:tab w:val="clear" w:pos="1134"/>
                <w:tab w:val="left" w:pos="1418"/>
              </w:tabs>
              <w:spacing w:before="100" w:after="100"/>
              <w:ind w:firstLineChars="200" w:firstLine="80"/>
              <w:jc w:val="left"/>
              <w:rPr>
                <w:rFonts w:eastAsia="Times New Roman" w:cs="Calibri"/>
                <w:color w:val="000000"/>
                <w:sz w:val="4"/>
                <w:szCs w:val="4"/>
                <w:lang w:eastAsia="zh-CN"/>
              </w:rPr>
            </w:pPr>
            <w:r w:rsidRPr="003C3066">
              <w:rPr>
                <w:rFonts w:eastAsia="Times New Roman" w:cs="Calibri"/>
                <w:color w:val="000000"/>
                <w:sz w:val="4"/>
                <w:szCs w:val="4"/>
              </w:rPr>
              <w:t> </w:t>
            </w:r>
          </w:p>
        </w:tc>
        <w:tc>
          <w:tcPr>
            <w:tcW w:w="1182" w:type="pct"/>
            <w:tcBorders>
              <w:top w:val="dotted" w:sz="4" w:space="0" w:color="auto"/>
              <w:left w:val="nil"/>
              <w:bottom w:val="single" w:sz="4" w:space="0" w:color="auto"/>
              <w:right w:val="nil"/>
            </w:tcBorders>
            <w:shd w:val="clear" w:color="000000" w:fill="FFFFFF"/>
            <w:noWrap/>
            <w:vAlign w:val="center"/>
            <w:hideMark/>
          </w:tcPr>
          <w:p w14:paraId="011AFFBA" w14:textId="77777777" w:rsidR="00D028ED" w:rsidRPr="003C3066" w:rsidRDefault="00D028ED" w:rsidP="00D028ED">
            <w:pPr>
              <w:tabs>
                <w:tab w:val="clear" w:pos="1134"/>
                <w:tab w:val="left" w:pos="1418"/>
              </w:tabs>
              <w:spacing w:before="100" w:after="100"/>
              <w:jc w:val="right"/>
              <w:rPr>
                <w:rFonts w:eastAsia="Times New Roman" w:cs="Calibri"/>
                <w:color w:val="000000"/>
                <w:sz w:val="4"/>
                <w:szCs w:val="4"/>
                <w:lang w:eastAsia="zh-CN"/>
              </w:rPr>
            </w:pPr>
            <w:r w:rsidRPr="003C3066">
              <w:rPr>
                <w:rFonts w:eastAsia="Times New Roman" w:cs="Calibri"/>
                <w:color w:val="000000"/>
                <w:sz w:val="4"/>
                <w:szCs w:val="4"/>
              </w:rPr>
              <w:t> </w:t>
            </w:r>
          </w:p>
        </w:tc>
      </w:tr>
      <w:tr w:rsidR="00D028ED" w:rsidRPr="003C3066" w14:paraId="4B188DD2" w14:textId="77777777" w:rsidTr="00642968">
        <w:trPr>
          <w:trHeight w:val="240"/>
        </w:trPr>
        <w:tc>
          <w:tcPr>
            <w:tcW w:w="3818" w:type="pct"/>
            <w:tcBorders>
              <w:top w:val="single" w:sz="4" w:space="0" w:color="auto"/>
              <w:left w:val="nil"/>
              <w:bottom w:val="single" w:sz="4" w:space="0" w:color="auto"/>
              <w:right w:val="nil"/>
            </w:tcBorders>
            <w:shd w:val="clear" w:color="000000" w:fill="FFFFFF"/>
            <w:noWrap/>
            <w:vAlign w:val="center"/>
            <w:hideMark/>
          </w:tcPr>
          <w:p w14:paraId="09BD56F0" w14:textId="77777777" w:rsidR="00D028ED" w:rsidRPr="003C3066" w:rsidRDefault="00D028ED" w:rsidP="00D028ED">
            <w:pPr>
              <w:tabs>
                <w:tab w:val="clear" w:pos="1134"/>
                <w:tab w:val="left" w:pos="1418"/>
              </w:tabs>
              <w:spacing w:before="100" w:after="100"/>
              <w:ind w:firstLineChars="100" w:firstLine="201"/>
              <w:jc w:val="left"/>
              <w:rPr>
                <w:rFonts w:eastAsia="Times New Roman" w:cs="Calibri"/>
                <w:b/>
                <w:bCs/>
                <w:color w:val="000000"/>
                <w:sz w:val="18"/>
                <w:szCs w:val="18"/>
              </w:rPr>
            </w:pPr>
            <w:r>
              <w:rPr>
                <w:b/>
              </w:rPr>
              <w:t>TOTAL</w:t>
            </w:r>
          </w:p>
        </w:tc>
        <w:tc>
          <w:tcPr>
            <w:tcW w:w="1182" w:type="pct"/>
            <w:tcBorders>
              <w:top w:val="single" w:sz="4" w:space="0" w:color="auto"/>
              <w:left w:val="nil"/>
              <w:bottom w:val="single" w:sz="4" w:space="0" w:color="auto"/>
              <w:right w:val="nil"/>
            </w:tcBorders>
            <w:shd w:val="clear" w:color="000000" w:fill="FFFFFF"/>
            <w:noWrap/>
            <w:vAlign w:val="center"/>
            <w:hideMark/>
          </w:tcPr>
          <w:p w14:paraId="3FBCDA89" w14:textId="2C2FDF4C" w:rsidR="00D028ED" w:rsidRPr="003C3066" w:rsidRDefault="00D028ED" w:rsidP="00D028ED">
            <w:pPr>
              <w:tabs>
                <w:tab w:val="clear" w:pos="1134"/>
                <w:tab w:val="left" w:pos="1418"/>
              </w:tabs>
              <w:spacing w:before="100" w:after="100"/>
              <w:jc w:val="right"/>
              <w:rPr>
                <w:rFonts w:eastAsia="Times New Roman" w:cs="Calibri"/>
                <w:b/>
                <w:bCs/>
                <w:color w:val="000000"/>
                <w:sz w:val="18"/>
                <w:szCs w:val="18"/>
              </w:rPr>
            </w:pPr>
            <w:r>
              <w:rPr>
                <w:b/>
              </w:rPr>
              <w:t>100</w:t>
            </w:r>
            <w:r w:rsidR="0094797C">
              <w:rPr>
                <w:b/>
              </w:rPr>
              <w:t xml:space="preserve"> </w:t>
            </w:r>
            <w:r>
              <w:rPr>
                <w:b/>
              </w:rPr>
              <w:t xml:space="preserve">000,0 </w:t>
            </w:r>
          </w:p>
        </w:tc>
      </w:tr>
    </w:tbl>
    <w:p w14:paraId="08058B5B" w14:textId="77777777" w:rsidR="00D028ED" w:rsidRPr="003C3066" w:rsidRDefault="00D028ED" w:rsidP="00D028ED">
      <w:pPr>
        <w:tabs>
          <w:tab w:val="clear" w:pos="1134"/>
          <w:tab w:val="left" w:pos="1418"/>
        </w:tabs>
        <w:spacing w:after="200"/>
        <w:jc w:val="left"/>
        <w:rPr>
          <w:rFonts w:eastAsiaTheme="minorEastAsia" w:cstheme="minorBidi"/>
          <w:szCs w:val="22"/>
          <w:lang w:eastAsia="zh-CN"/>
        </w:rPr>
      </w:pPr>
      <w:r w:rsidRPr="003C3066">
        <w:rPr>
          <w:rFonts w:eastAsiaTheme="minorEastAsia" w:cstheme="minorBidi"/>
          <w:noProof/>
          <w:szCs w:val="22"/>
        </w:rPr>
        <w:fldChar w:fldCharType="end"/>
      </w:r>
    </w:p>
    <w:p w14:paraId="57BFE245"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eastAsia="zh-CN"/>
        </w:rPr>
      </w:pPr>
      <w:bookmarkStart w:id="17" w:name="_Toc121390465"/>
      <w:r w:rsidRPr="003C3066">
        <w:rPr>
          <w:rFonts w:eastAsiaTheme="majorEastAsia" w:cstheme="majorBidi"/>
          <w:b/>
        </w:rPr>
        <w:t>Contribuciones en especie</w:t>
      </w:r>
      <w:bookmarkEnd w:id="17"/>
    </w:p>
    <w:p w14:paraId="77586474" w14:textId="77777777"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En los estados financieros anuales de la OMM, se reconocen las contribuciones en especie respecto de las tierras ocupadas por el edificio de la sede de la OMM y el préstamo sin intereses proporcionado por las autoridades suizas (FIPOI). El monto anual de la contribución en especie de la OMM se estima en 1 870 000 francos suizos para 2024-2027.</w:t>
      </w:r>
    </w:p>
    <w:p w14:paraId="1512ABDB" w14:textId="78994C5C"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 xml:space="preserve">La OMM recibe también servicios en especie de Los Miembros que no están reconocidos en los estados financieros de la OMM, ya que la OMM no tiene control sobre los servicios en especie y no pudo medir el buen valor de estos servicios. Los servicios en especie que se prestan a los Miembros se refieren al apoyo prestado a las reuniones de la OMM y a sus países y a los expertos </w:t>
      </w:r>
      <w:r w:rsidR="0094231E">
        <w:rPr>
          <w:rFonts w:eastAsiaTheme="minorHAnsi" w:cstheme="minorBidi"/>
          <w:lang w:val="es-ES"/>
        </w:rPr>
        <w:t>en comisión de servicios</w:t>
      </w:r>
      <w:r w:rsidRPr="009D1B2C">
        <w:rPr>
          <w:rFonts w:eastAsiaTheme="minorHAnsi" w:cstheme="minorBidi"/>
          <w:lang w:val="es-ES"/>
        </w:rPr>
        <w:t xml:space="preserve"> </w:t>
      </w:r>
      <w:r w:rsidR="0094231E">
        <w:rPr>
          <w:rFonts w:eastAsiaTheme="minorHAnsi" w:cstheme="minorBidi"/>
          <w:lang w:val="es-ES"/>
        </w:rPr>
        <w:t>a</w:t>
      </w:r>
      <w:r w:rsidRPr="009D1B2C">
        <w:rPr>
          <w:rFonts w:eastAsiaTheme="minorHAnsi" w:cstheme="minorBidi"/>
          <w:lang w:val="es-ES"/>
        </w:rPr>
        <w:t xml:space="preserve"> la OMM.</w:t>
      </w:r>
    </w:p>
    <w:p w14:paraId="0857B1D3" w14:textId="4B343283" w:rsidR="00D028ED" w:rsidRPr="009D1B2C" w:rsidRDefault="00E16AB9">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val="es-ES" w:eastAsia="zh-CN"/>
        </w:rPr>
      </w:pPr>
      <w:r>
        <w:rPr>
          <w:rFonts w:eastAsiaTheme="majorEastAsia" w:cstheme="majorBidi"/>
          <w:b/>
          <w:lang w:val="es-ES"/>
        </w:rPr>
        <w:lastRenderedPageBreak/>
        <w:t xml:space="preserve">Obligaciones del seguro médico </w:t>
      </w:r>
      <w:r w:rsidR="00037074">
        <w:rPr>
          <w:rFonts w:eastAsiaTheme="majorEastAsia" w:cstheme="majorBidi"/>
          <w:b/>
          <w:lang w:val="es-ES"/>
        </w:rPr>
        <w:t>después de la separación del servicio</w:t>
      </w:r>
    </w:p>
    <w:p w14:paraId="274DA726" w14:textId="327E5AB1" w:rsidR="00D028ED" w:rsidRPr="009D1B2C" w:rsidRDefault="00CB64BF">
      <w:pPr>
        <w:numPr>
          <w:ilvl w:val="0"/>
          <w:numId w:val="1"/>
        </w:numPr>
        <w:tabs>
          <w:tab w:val="left" w:pos="1701"/>
        </w:tabs>
        <w:spacing w:before="240" w:after="240"/>
        <w:ind w:left="0" w:firstLine="0"/>
        <w:jc w:val="left"/>
        <w:rPr>
          <w:rFonts w:eastAsiaTheme="minorHAnsi" w:cstheme="minorBidi"/>
          <w:lang w:val="es-ES"/>
        </w:rPr>
      </w:pPr>
      <w:r>
        <w:rPr>
          <w:rFonts w:eastAsiaTheme="minorHAnsi" w:cstheme="minorBidi"/>
          <w:lang w:val="es-ES"/>
        </w:rPr>
        <w:t xml:space="preserve">Las obligaciones del seguro médico después del servicio </w:t>
      </w:r>
      <w:r w:rsidR="00D028ED" w:rsidRPr="009D1B2C">
        <w:rPr>
          <w:rFonts w:eastAsiaTheme="minorHAnsi" w:cstheme="minorBidi"/>
          <w:lang w:val="es-ES"/>
        </w:rPr>
        <w:t>está</w:t>
      </w:r>
      <w:r>
        <w:rPr>
          <w:rFonts w:eastAsiaTheme="minorHAnsi" w:cstheme="minorBidi"/>
          <w:lang w:val="es-ES"/>
        </w:rPr>
        <w:t>n</w:t>
      </w:r>
      <w:r w:rsidR="00D028ED" w:rsidRPr="009D1B2C">
        <w:rPr>
          <w:rFonts w:eastAsiaTheme="minorHAnsi" w:cstheme="minorBidi"/>
          <w:lang w:val="es-ES"/>
        </w:rPr>
        <w:t xml:space="preserve"> actualmente controlad</w:t>
      </w:r>
      <w:r>
        <w:rPr>
          <w:rFonts w:eastAsiaTheme="minorHAnsi" w:cstheme="minorBidi"/>
          <w:lang w:val="es-ES"/>
        </w:rPr>
        <w:t>as</w:t>
      </w:r>
      <w:r w:rsidR="00D028ED" w:rsidRPr="009D1B2C">
        <w:rPr>
          <w:rFonts w:eastAsiaTheme="minorHAnsi" w:cstheme="minorBidi"/>
          <w:lang w:val="es-ES"/>
        </w:rPr>
        <w:t xml:space="preserve"> por la organización sobre una base IPSAS y se comunica</w:t>
      </w:r>
      <w:r w:rsidR="00DE7F70">
        <w:rPr>
          <w:rFonts w:eastAsiaTheme="minorHAnsi" w:cstheme="minorBidi"/>
          <w:lang w:val="es-ES"/>
        </w:rPr>
        <w:t>n</w:t>
      </w:r>
      <w:r w:rsidR="00D028ED" w:rsidRPr="009D1B2C">
        <w:rPr>
          <w:rFonts w:eastAsiaTheme="minorHAnsi" w:cstheme="minorBidi"/>
          <w:lang w:val="es-ES"/>
        </w:rPr>
        <w:t xml:space="preserve"> a través de los estados financieros anuales. El impacto a largo plazo </w:t>
      </w:r>
      <w:r w:rsidR="00DE7F70">
        <w:rPr>
          <w:rFonts w:eastAsiaTheme="minorHAnsi" w:cstheme="minorBidi"/>
          <w:lang w:val="es-ES"/>
        </w:rPr>
        <w:t xml:space="preserve">de ellas </w:t>
      </w:r>
      <w:r w:rsidR="00D028ED" w:rsidRPr="009D1B2C">
        <w:rPr>
          <w:rFonts w:eastAsiaTheme="minorHAnsi" w:cstheme="minorBidi"/>
          <w:lang w:val="es-ES"/>
        </w:rPr>
        <w:t xml:space="preserve">se considera mínimamente en la preparación máxima de los gastos, mientras que el impacto a corto plazo (durante el </w:t>
      </w:r>
      <w:r w:rsidR="00DE7F70">
        <w:rPr>
          <w:rFonts w:eastAsiaTheme="minorHAnsi" w:cstheme="minorBidi"/>
          <w:lang w:val="es-ES"/>
        </w:rPr>
        <w:t>ejercicio económico</w:t>
      </w:r>
      <w:r w:rsidR="00D028ED" w:rsidRPr="009D1B2C">
        <w:rPr>
          <w:rFonts w:eastAsiaTheme="minorHAnsi" w:cstheme="minorBidi"/>
          <w:lang w:val="es-ES"/>
        </w:rPr>
        <w:t xml:space="preserve">) se gestiona principalmente a través de la utilización de la reserva de </w:t>
      </w:r>
      <w:r w:rsidR="007A7E22">
        <w:rPr>
          <w:rFonts w:eastAsiaTheme="minorHAnsi" w:cstheme="minorBidi"/>
          <w:lang w:val="es-ES"/>
        </w:rPr>
        <w:t>planes de prestaci</w:t>
      </w:r>
      <w:r w:rsidR="00FD230F">
        <w:rPr>
          <w:rFonts w:eastAsiaTheme="minorHAnsi" w:cstheme="minorBidi"/>
          <w:lang w:val="es-ES"/>
        </w:rPr>
        <w:t>ones después de la separación del servicio</w:t>
      </w:r>
      <w:r w:rsidR="00D028ED" w:rsidRPr="009D1B2C">
        <w:rPr>
          <w:rFonts w:eastAsiaTheme="minorHAnsi" w:cstheme="minorBidi"/>
          <w:lang w:val="es-ES"/>
        </w:rPr>
        <w:t xml:space="preserve">, de una reserva operativa financiada con un recargo de nómina del 4 % sobre los costos normalizados utilizados para presupuestar los gastos de personal. Tal como se aprobó en </w:t>
      </w:r>
      <w:hyperlink r:id="rId23" w:anchor="page=81" w:history="1">
        <w:r w:rsidR="00D028ED" w:rsidRPr="009D1B2C">
          <w:rPr>
            <w:rStyle w:val="Hyperlink"/>
            <w:rFonts w:eastAsiaTheme="minorHAnsi" w:cstheme="minorBidi"/>
            <w:lang w:val="es-ES"/>
          </w:rPr>
          <w:t xml:space="preserve"> la Resolución 15 (EC-72),</w:t>
        </w:r>
      </w:hyperlink>
      <w:r w:rsidR="00FD230F">
        <w:rPr>
          <w:rStyle w:val="Hyperlink"/>
          <w:rFonts w:eastAsiaTheme="minorHAnsi" w:cstheme="minorBidi"/>
          <w:lang w:val="es-ES"/>
        </w:rPr>
        <w:t xml:space="preserve"> </w:t>
      </w:r>
      <w:r w:rsidR="00D028ED" w:rsidRPr="009D1B2C">
        <w:rPr>
          <w:rFonts w:eastAsiaTheme="minorHAnsi" w:cstheme="minorBidi"/>
          <w:lang w:val="es-ES"/>
        </w:rPr>
        <w:t>esta reserva se complementa con un recargo adicional del 3 % de nóminas aplicado a los gastos de personal financiados con cargo a recursos extrapresupuestarios (7 % en total). A</w:t>
      </w:r>
      <w:r w:rsidR="00045A8B">
        <w:rPr>
          <w:rFonts w:eastAsiaTheme="minorHAnsi" w:cstheme="minorBidi"/>
          <w:lang w:val="es-ES"/>
        </w:rPr>
        <w:t xml:space="preserve"> fecha de</w:t>
      </w:r>
      <w:r w:rsidR="00D028ED" w:rsidRPr="009D1B2C">
        <w:rPr>
          <w:rFonts w:eastAsiaTheme="minorHAnsi" w:cstheme="minorBidi"/>
          <w:lang w:val="es-ES"/>
        </w:rPr>
        <w:t xml:space="preserve"> 31 de diciembre de 2022, la fecha de la última valoración actuarial, la financiación total de la reserva </w:t>
      </w:r>
      <w:r w:rsidR="00E32D34">
        <w:rPr>
          <w:rFonts w:eastAsiaTheme="minorHAnsi" w:cstheme="minorBidi"/>
          <w:lang w:val="es-ES"/>
        </w:rPr>
        <w:t>de planes de prestaciones después de la separación del servicio</w:t>
      </w:r>
      <w:r w:rsidR="00D028ED" w:rsidRPr="009D1B2C">
        <w:rPr>
          <w:rFonts w:eastAsiaTheme="minorHAnsi" w:cstheme="minorBidi"/>
          <w:lang w:val="es-ES"/>
        </w:rPr>
        <w:t xml:space="preserve"> constituyó el 2,9 % del total del pasivo actuarial determinado por las IPSAS.</w:t>
      </w:r>
    </w:p>
    <w:p w14:paraId="691218D2" w14:textId="77777777"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Se llevan a cabo esfuerzos y estudios adicionales sobre los mecanismos de financiación a largo plazo en coordinación con el mecanismo correspondiente a nivel de organizaciones interinstitucional de las Naciones Unidas.</w:t>
      </w:r>
    </w:p>
    <w:p w14:paraId="764F1D15" w14:textId="77777777" w:rsidR="00D028ED" w:rsidRPr="003C3066" w:rsidRDefault="00D028ED">
      <w:pPr>
        <w:keepNext/>
        <w:keepLines/>
        <w:numPr>
          <w:ilvl w:val="0"/>
          <w:numId w:val="2"/>
        </w:numPr>
        <w:tabs>
          <w:tab w:val="clear" w:pos="1134"/>
          <w:tab w:val="left" w:pos="1418"/>
        </w:tabs>
        <w:spacing w:before="360" w:after="120"/>
        <w:ind w:left="1134" w:hanging="1134"/>
        <w:jc w:val="left"/>
        <w:outlineLvl w:val="0"/>
        <w:rPr>
          <w:rFonts w:eastAsiaTheme="majorEastAsia" w:cstheme="majorBidi"/>
          <w:b/>
          <w:bCs/>
          <w:lang w:eastAsia="zh-CN"/>
        </w:rPr>
      </w:pPr>
      <w:bookmarkStart w:id="18" w:name="_Toc121390467"/>
      <w:r w:rsidRPr="003C3066">
        <w:rPr>
          <w:rFonts w:eastAsiaTheme="majorEastAsia" w:cstheme="majorBidi"/>
          <w:b/>
        </w:rPr>
        <w:t>Metodología general</w:t>
      </w:r>
      <w:bookmarkEnd w:id="18"/>
    </w:p>
    <w:p w14:paraId="541BA4F1" w14:textId="21CE8240"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 xml:space="preserve">La metodología presupuestaria utilizada para elaborar las estimaciones de los gastos máximos para 2024-2027 abarca el enfoque de presupuestación basada en los resultados. La definición de los </w:t>
      </w:r>
      <w:r w:rsidR="00937936">
        <w:rPr>
          <w:rFonts w:eastAsiaTheme="minorHAnsi" w:cstheme="minorBidi"/>
          <w:lang w:val="es-ES"/>
        </w:rPr>
        <w:t>“</w:t>
      </w:r>
      <w:r w:rsidRPr="009D1B2C">
        <w:rPr>
          <w:rFonts w:eastAsiaTheme="minorHAnsi" w:cstheme="minorBidi"/>
          <w:lang w:val="es-ES"/>
        </w:rPr>
        <w:t>resultados</w:t>
      </w:r>
      <w:r w:rsidR="00937936">
        <w:rPr>
          <w:rFonts w:eastAsiaTheme="minorHAnsi" w:cstheme="minorBidi"/>
          <w:lang w:val="es-ES"/>
        </w:rPr>
        <w:t>”</w:t>
      </w:r>
      <w:r w:rsidRPr="009D1B2C">
        <w:rPr>
          <w:rFonts w:eastAsiaTheme="minorHAnsi" w:cstheme="minorBidi"/>
          <w:lang w:val="es-ES"/>
        </w:rPr>
        <w:t xml:space="preserve"> de la organización describe el conjunto general de prestaciones que la OMM prevé ejecutar con los fondos disponibles para el próximo período financiero. Los resultados de la organización se establecen en plena consonancia con el Plan Estratégico y el marco lógico siguiendo un pensamiento basado en los resultados y como parte de un proceso consultivo con los Miembros en la formulación del documento del Plan de Funcionamiento. Este enfoque garantiza la plena integración de la asignación de recursos presupuestarios en la aplicación de las metas del Plan Estratégico, a través de la presupuestación de los resultados, proporcionando al mismo tiempo plena transparencia a los Miembros acerca de las expectativas de la OMM y de los recursos que conlleva su ejecución.</w:t>
      </w:r>
    </w:p>
    <w:p w14:paraId="43938432" w14:textId="0EB024E5" w:rsidR="00D028ED" w:rsidRPr="009D1B2C" w:rsidRDefault="00D028ED">
      <w:pPr>
        <w:numPr>
          <w:ilvl w:val="0"/>
          <w:numId w:val="1"/>
        </w:numPr>
        <w:tabs>
          <w:tab w:val="left" w:pos="1701"/>
        </w:tabs>
        <w:spacing w:before="240" w:after="240"/>
        <w:ind w:left="0" w:firstLine="0"/>
        <w:jc w:val="left"/>
        <w:rPr>
          <w:rFonts w:eastAsiaTheme="minorHAnsi" w:cstheme="minorBidi"/>
          <w:lang w:val="es-ES"/>
        </w:rPr>
      </w:pPr>
      <w:r w:rsidRPr="009D1B2C">
        <w:rPr>
          <w:rFonts w:eastAsiaTheme="minorHAnsi" w:cstheme="minorBidi"/>
          <w:lang w:val="es-ES"/>
        </w:rPr>
        <w:t>Una vez que los Miembros aprueben el nivel de cuantía máxima de los gastos, la presupuestación bienal a nivel de los productos no solo proporciona una aplicación completa de la metodología del presupuesto regional</w:t>
      </w:r>
      <w:r w:rsidR="009A08B1">
        <w:rPr>
          <w:rFonts w:eastAsiaTheme="minorHAnsi" w:cstheme="minorBidi"/>
          <w:lang w:val="es-ES"/>
        </w:rPr>
        <w:t>,</w:t>
      </w:r>
      <w:r w:rsidRPr="009D1B2C">
        <w:rPr>
          <w:rFonts w:eastAsiaTheme="minorHAnsi" w:cstheme="minorBidi"/>
          <w:lang w:val="es-ES"/>
        </w:rPr>
        <w:t xml:space="preserve"> sino una mejor manera de que los Miembros vigilen la situación y la ejecución de los objetivos estratégicos. La Secretaría supervisará de cerca la consecución de los resultados durante la ejecución del presupuesto, </w:t>
      </w:r>
      <w:r w:rsidR="009A08B1">
        <w:rPr>
          <w:rFonts w:eastAsiaTheme="minorHAnsi" w:cstheme="minorBidi"/>
          <w:lang w:val="es-ES"/>
        </w:rPr>
        <w:t>y velará</w:t>
      </w:r>
      <w:r w:rsidRPr="009D1B2C">
        <w:rPr>
          <w:rFonts w:eastAsiaTheme="minorHAnsi" w:cstheme="minorBidi"/>
          <w:lang w:val="es-ES"/>
        </w:rPr>
        <w:t xml:space="preserve"> por un mecanismo de rendición de cuentas sobre la ejecución programática. Centrarse en los resultados (lo que) y no en la actividad (cómo) proporciona a los Miembros una mejor visión general de la adopción de decisiones, a la vez que garantiza cierta flexibilidad a la Secretaría para adaptar las modalidades de aplicación a un entorno cambiante sin interrupción del resultado.</w:t>
      </w:r>
    </w:p>
    <w:p w14:paraId="34861C8C" w14:textId="18020845" w:rsidR="00A92164" w:rsidRPr="009D1B2C" w:rsidRDefault="00A92164" w:rsidP="00A92164">
      <w:pPr>
        <w:pStyle w:val="WMOBodyText"/>
        <w:rPr>
          <w:lang w:val="es-ES" w:eastAsia="en-US"/>
        </w:rPr>
      </w:pPr>
    </w:p>
    <w:p w14:paraId="2103F7A4" w14:textId="30400760" w:rsidR="00A92164" w:rsidRPr="009D1B2C" w:rsidRDefault="00A92164" w:rsidP="00A92164">
      <w:pPr>
        <w:pStyle w:val="WMOBodyText"/>
        <w:rPr>
          <w:lang w:val="es-ES" w:eastAsia="en-US"/>
        </w:rPr>
      </w:pPr>
    </w:p>
    <w:p w14:paraId="2367BB94" w14:textId="2EA2BD6E" w:rsidR="00A92164" w:rsidRPr="003C3066" w:rsidRDefault="00A92164" w:rsidP="00A92164">
      <w:pPr>
        <w:pStyle w:val="WMOBodyText"/>
        <w:jc w:val="center"/>
        <w:rPr>
          <w:lang w:eastAsia="en-US"/>
        </w:rPr>
      </w:pPr>
      <w:r w:rsidRPr="003C3066">
        <w:t>_______________</w:t>
      </w:r>
    </w:p>
    <w:sectPr w:rsidR="00A92164" w:rsidRPr="003C3066" w:rsidSect="0020095E">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AE9A" w14:textId="77777777" w:rsidR="003A4725" w:rsidRDefault="003A4725">
      <w:r>
        <w:separator/>
      </w:r>
    </w:p>
    <w:p w14:paraId="56925370" w14:textId="77777777" w:rsidR="003A4725" w:rsidRDefault="003A4725"/>
    <w:p w14:paraId="4697D584" w14:textId="77777777" w:rsidR="003A4725" w:rsidRDefault="003A4725"/>
  </w:endnote>
  <w:endnote w:type="continuationSeparator" w:id="0">
    <w:p w14:paraId="3D85A160" w14:textId="77777777" w:rsidR="003A4725" w:rsidRDefault="003A4725">
      <w:r>
        <w:continuationSeparator/>
      </w:r>
    </w:p>
    <w:p w14:paraId="4A8CC3AE" w14:textId="77777777" w:rsidR="003A4725" w:rsidRDefault="003A4725"/>
    <w:p w14:paraId="153BC1F4" w14:textId="77777777" w:rsidR="003A4725" w:rsidRDefault="003A4725"/>
  </w:endnote>
  <w:endnote w:type="continuationNotice" w:id="1">
    <w:p w14:paraId="187E7F25" w14:textId="77777777" w:rsidR="003A4725" w:rsidRDefault="003A4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6DE8" w14:textId="77777777" w:rsidR="003A4725" w:rsidRDefault="003A4725">
      <w:r>
        <w:separator/>
      </w:r>
    </w:p>
  </w:footnote>
  <w:footnote w:type="continuationSeparator" w:id="0">
    <w:p w14:paraId="6E1A32A7" w14:textId="77777777" w:rsidR="003A4725" w:rsidRDefault="003A4725">
      <w:r>
        <w:continuationSeparator/>
      </w:r>
    </w:p>
    <w:p w14:paraId="7E1610DF" w14:textId="77777777" w:rsidR="003A4725" w:rsidRDefault="003A4725"/>
    <w:p w14:paraId="2F9243E8" w14:textId="77777777" w:rsidR="003A4725" w:rsidRDefault="003A4725"/>
  </w:footnote>
  <w:footnote w:type="continuationNotice" w:id="1">
    <w:p w14:paraId="5E50813E" w14:textId="77777777" w:rsidR="003A4725" w:rsidRDefault="003A4725"/>
  </w:footnote>
  <w:footnote w:id="2">
    <w:p w14:paraId="42F05991" w14:textId="77777777" w:rsidR="00D028ED" w:rsidRPr="009D1B2C" w:rsidRDefault="00D028ED" w:rsidP="00D028ED">
      <w:pPr>
        <w:pStyle w:val="FootnoteText"/>
        <w:rPr>
          <w:lang w:val="es-ES"/>
        </w:rPr>
      </w:pPr>
      <w:r>
        <w:rPr>
          <w:rStyle w:val="FootnoteReference"/>
        </w:rPr>
        <w:footnoteRef/>
      </w:r>
      <w:r w:rsidRPr="009D1B2C">
        <w:rPr>
          <w:lang w:val="es-ES"/>
        </w:rPr>
        <w:t xml:space="preserve"> Incluye la asignación de costos administrativos indirectos a las partidas de asignación presupuestaria.</w:t>
      </w:r>
    </w:p>
  </w:footnote>
  <w:footnote w:id="3">
    <w:p w14:paraId="19A8D630" w14:textId="4A6C8AB4" w:rsidR="00D028ED" w:rsidRPr="009D1B2C" w:rsidRDefault="00D028ED" w:rsidP="00D028ED">
      <w:pPr>
        <w:pStyle w:val="FootnoteText"/>
        <w:ind w:left="567" w:hanging="567"/>
        <w:rPr>
          <w:lang w:val="es-ES"/>
        </w:rPr>
      </w:pPr>
      <w:r w:rsidRPr="005D6D7D">
        <w:rPr>
          <w:rStyle w:val="FootnoteReference"/>
        </w:rPr>
        <w:footnoteRef/>
      </w:r>
      <w:r w:rsidRPr="009D1B2C">
        <w:rPr>
          <w:lang w:val="es-ES"/>
        </w:rPr>
        <w:t xml:space="preserve"> </w:t>
      </w:r>
      <w:r w:rsidRPr="009D1B2C">
        <w:rPr>
          <w:lang w:val="es-ES"/>
        </w:rPr>
        <w:tab/>
      </w:r>
      <w:hyperlink r:id="rId1" w:anchor="page=501" w:history="1">
        <w:r w:rsidRPr="009D1B2C">
          <w:rPr>
            <w:rStyle w:val="Hyperlink"/>
            <w:lang w:val="es-ES"/>
          </w:rPr>
          <w:t>Resolución 32 (EC-73)</w:t>
        </w:r>
      </w:hyperlink>
      <w:r w:rsidRPr="009D1B2C">
        <w:rPr>
          <w:rStyle w:val="Hyperlink"/>
          <w:lang w:val="es-ES"/>
        </w:rPr>
        <w:t xml:space="preserve"> </w:t>
      </w:r>
      <w:r w:rsidRPr="009D1B2C">
        <w:rPr>
          <w:rStyle w:val="Hyperlink"/>
          <w:color w:val="auto"/>
          <w:lang w:val="es-ES"/>
        </w:rPr>
        <w:t>Presupuesto para el bienio 2022-2023</w:t>
      </w:r>
    </w:p>
  </w:footnote>
  <w:footnote w:id="4">
    <w:p w14:paraId="30BA62CE" w14:textId="77777777" w:rsidR="006B7525" w:rsidRPr="009D1B2C" w:rsidRDefault="006B7525" w:rsidP="006B7525">
      <w:pPr>
        <w:pStyle w:val="FootnoteText"/>
        <w:ind w:left="567" w:hanging="567"/>
        <w:rPr>
          <w:sz w:val="16"/>
          <w:szCs w:val="16"/>
          <w:lang w:val="es-ES"/>
        </w:rPr>
      </w:pPr>
      <w:r w:rsidRPr="00C55B41">
        <w:rPr>
          <w:rStyle w:val="FootnoteReference"/>
        </w:rPr>
        <w:footnoteRef/>
      </w:r>
      <w:r w:rsidRPr="009D1B2C">
        <w:rPr>
          <w:lang w:val="es-ES"/>
        </w:rPr>
        <w:t xml:space="preserve"> </w:t>
      </w:r>
      <w:r w:rsidRPr="009D1B2C">
        <w:rPr>
          <w:lang w:val="es-ES"/>
        </w:rPr>
        <w:tab/>
        <w:t>Resolución 20 (EC-64) - Política de la OMM en materia de gastos de apoyo a los programas</w:t>
      </w:r>
    </w:p>
  </w:footnote>
  <w:footnote w:id="5">
    <w:p w14:paraId="5A5FA1B9" w14:textId="77777777" w:rsidR="00D028ED" w:rsidRPr="009D1B2C" w:rsidRDefault="00D028ED" w:rsidP="00D028ED">
      <w:pPr>
        <w:pStyle w:val="FootnoteText"/>
        <w:rPr>
          <w:lang w:val="es-ES"/>
        </w:rPr>
      </w:pPr>
      <w:r>
        <w:rPr>
          <w:rStyle w:val="FootnoteReference"/>
        </w:rPr>
        <w:footnoteRef/>
      </w:r>
      <w:r w:rsidRPr="009D1B2C">
        <w:rPr>
          <w:lang w:val="es-ES"/>
        </w:rPr>
        <w:t xml:space="preserve"> Excluidas entidades no consolidadas (por ejemplo, el IPCC; FCIC, SMOC,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3AD" w14:textId="77777777" w:rsidR="00A432CD" w:rsidRDefault="00A432CD" w:rsidP="00B72444">
    <w:pPr>
      <w:pStyle w:val="Header"/>
    </w:pPr>
    <w:r w:rsidRPr="00C2459D">
      <w:t xml:space="preserve">Cg-19/INF. 3(2),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15E56"/>
    <w:multiLevelType w:val="hybridMultilevel"/>
    <w:tmpl w:val="D9ECD696"/>
    <w:lvl w:ilvl="0" w:tplc="BB52C3A6">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52010B7"/>
    <w:multiLevelType w:val="hybridMultilevel"/>
    <w:tmpl w:val="CCFA1A3C"/>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C5B8E"/>
    <w:multiLevelType w:val="hybridMultilevel"/>
    <w:tmpl w:val="2FFAE898"/>
    <w:lvl w:ilvl="0" w:tplc="8BEA12C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943999">
    <w:abstractNumId w:val="1"/>
  </w:num>
  <w:num w:numId="2" w16cid:durableId="322707422">
    <w:abstractNumId w:val="2"/>
  </w:num>
  <w:num w:numId="3" w16cid:durableId="18000329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47"/>
    <w:rsid w:val="00005301"/>
    <w:rsid w:val="000133EE"/>
    <w:rsid w:val="000206A8"/>
    <w:rsid w:val="000250BE"/>
    <w:rsid w:val="00027205"/>
    <w:rsid w:val="0003137A"/>
    <w:rsid w:val="00036130"/>
    <w:rsid w:val="00037074"/>
    <w:rsid w:val="00040A8A"/>
    <w:rsid w:val="00041171"/>
    <w:rsid w:val="00041727"/>
    <w:rsid w:val="0004226F"/>
    <w:rsid w:val="00045624"/>
    <w:rsid w:val="00045A8B"/>
    <w:rsid w:val="00050F8E"/>
    <w:rsid w:val="000518BB"/>
    <w:rsid w:val="00053757"/>
    <w:rsid w:val="00054391"/>
    <w:rsid w:val="00056FD4"/>
    <w:rsid w:val="000573AD"/>
    <w:rsid w:val="000573F4"/>
    <w:rsid w:val="0006123B"/>
    <w:rsid w:val="00064F6B"/>
    <w:rsid w:val="00072F17"/>
    <w:rsid w:val="000731AA"/>
    <w:rsid w:val="00080476"/>
    <w:rsid w:val="000806D8"/>
    <w:rsid w:val="00082C80"/>
    <w:rsid w:val="00083847"/>
    <w:rsid w:val="00083C36"/>
    <w:rsid w:val="00084D58"/>
    <w:rsid w:val="00092CAE"/>
    <w:rsid w:val="0009495B"/>
    <w:rsid w:val="00095E48"/>
    <w:rsid w:val="000A2F68"/>
    <w:rsid w:val="000A4F1C"/>
    <w:rsid w:val="000A69BF"/>
    <w:rsid w:val="000A7389"/>
    <w:rsid w:val="000C225A"/>
    <w:rsid w:val="000C6781"/>
    <w:rsid w:val="000D0753"/>
    <w:rsid w:val="000D15F7"/>
    <w:rsid w:val="000E3EA2"/>
    <w:rsid w:val="000F5E49"/>
    <w:rsid w:val="000F7A87"/>
    <w:rsid w:val="00101BD2"/>
    <w:rsid w:val="00102EAE"/>
    <w:rsid w:val="001047DC"/>
    <w:rsid w:val="00105D2E"/>
    <w:rsid w:val="00107C44"/>
    <w:rsid w:val="00111322"/>
    <w:rsid w:val="00111BFD"/>
    <w:rsid w:val="0011498B"/>
    <w:rsid w:val="00120147"/>
    <w:rsid w:val="00123140"/>
    <w:rsid w:val="00123D94"/>
    <w:rsid w:val="001303FF"/>
    <w:rsid w:val="00130BBC"/>
    <w:rsid w:val="00133D13"/>
    <w:rsid w:val="00150DBD"/>
    <w:rsid w:val="00154EF7"/>
    <w:rsid w:val="00156F9B"/>
    <w:rsid w:val="00163BA3"/>
    <w:rsid w:val="001648A4"/>
    <w:rsid w:val="00166B31"/>
    <w:rsid w:val="00167D54"/>
    <w:rsid w:val="00176AB5"/>
    <w:rsid w:val="00180771"/>
    <w:rsid w:val="00190854"/>
    <w:rsid w:val="00191D78"/>
    <w:rsid w:val="001930A3"/>
    <w:rsid w:val="00196EB8"/>
    <w:rsid w:val="001A25F0"/>
    <w:rsid w:val="001A341E"/>
    <w:rsid w:val="001B0EA6"/>
    <w:rsid w:val="001B1CDF"/>
    <w:rsid w:val="001B2EC4"/>
    <w:rsid w:val="001B56BF"/>
    <w:rsid w:val="001B56F4"/>
    <w:rsid w:val="001C4F25"/>
    <w:rsid w:val="001C5462"/>
    <w:rsid w:val="001D1124"/>
    <w:rsid w:val="001D265C"/>
    <w:rsid w:val="001D3062"/>
    <w:rsid w:val="001D3CFB"/>
    <w:rsid w:val="001D48E4"/>
    <w:rsid w:val="001D559B"/>
    <w:rsid w:val="001D6302"/>
    <w:rsid w:val="001E1534"/>
    <w:rsid w:val="001E2C22"/>
    <w:rsid w:val="001E740C"/>
    <w:rsid w:val="001E7DD0"/>
    <w:rsid w:val="001F1BDA"/>
    <w:rsid w:val="001F2569"/>
    <w:rsid w:val="0020095E"/>
    <w:rsid w:val="00200AFB"/>
    <w:rsid w:val="00206691"/>
    <w:rsid w:val="00210BFE"/>
    <w:rsid w:val="00210D30"/>
    <w:rsid w:val="00212061"/>
    <w:rsid w:val="0021784F"/>
    <w:rsid w:val="002204FD"/>
    <w:rsid w:val="00221020"/>
    <w:rsid w:val="002222FD"/>
    <w:rsid w:val="00227029"/>
    <w:rsid w:val="002308B5"/>
    <w:rsid w:val="00233C0B"/>
    <w:rsid w:val="00234A34"/>
    <w:rsid w:val="0024388B"/>
    <w:rsid w:val="00246054"/>
    <w:rsid w:val="0025255D"/>
    <w:rsid w:val="00255EE3"/>
    <w:rsid w:val="00256B3D"/>
    <w:rsid w:val="00265593"/>
    <w:rsid w:val="0026743C"/>
    <w:rsid w:val="00267CE3"/>
    <w:rsid w:val="00270480"/>
    <w:rsid w:val="00273EEB"/>
    <w:rsid w:val="002779AF"/>
    <w:rsid w:val="002823D8"/>
    <w:rsid w:val="00282EB2"/>
    <w:rsid w:val="0028531A"/>
    <w:rsid w:val="00285446"/>
    <w:rsid w:val="00290082"/>
    <w:rsid w:val="00295593"/>
    <w:rsid w:val="00297396"/>
    <w:rsid w:val="002A0E44"/>
    <w:rsid w:val="002A354F"/>
    <w:rsid w:val="002A386C"/>
    <w:rsid w:val="002B09DF"/>
    <w:rsid w:val="002B121B"/>
    <w:rsid w:val="002B540D"/>
    <w:rsid w:val="002B7A7E"/>
    <w:rsid w:val="002C30BC"/>
    <w:rsid w:val="002C5965"/>
    <w:rsid w:val="002C5E15"/>
    <w:rsid w:val="002C7A88"/>
    <w:rsid w:val="002C7AB9"/>
    <w:rsid w:val="002D1878"/>
    <w:rsid w:val="002D232B"/>
    <w:rsid w:val="002D2759"/>
    <w:rsid w:val="002D5E00"/>
    <w:rsid w:val="002D6DAC"/>
    <w:rsid w:val="002E261D"/>
    <w:rsid w:val="002E3FAD"/>
    <w:rsid w:val="002E4E16"/>
    <w:rsid w:val="002F6DAC"/>
    <w:rsid w:val="00301E8C"/>
    <w:rsid w:val="00307DDD"/>
    <w:rsid w:val="003143C9"/>
    <w:rsid w:val="003146E9"/>
    <w:rsid w:val="00314A33"/>
    <w:rsid w:val="00314D5D"/>
    <w:rsid w:val="00320009"/>
    <w:rsid w:val="00322BCC"/>
    <w:rsid w:val="0032424A"/>
    <w:rsid w:val="003245D3"/>
    <w:rsid w:val="00325127"/>
    <w:rsid w:val="00327EB9"/>
    <w:rsid w:val="00330AA3"/>
    <w:rsid w:val="00331584"/>
    <w:rsid w:val="00331964"/>
    <w:rsid w:val="00334987"/>
    <w:rsid w:val="00340C69"/>
    <w:rsid w:val="003420B4"/>
    <w:rsid w:val="00342E34"/>
    <w:rsid w:val="00347945"/>
    <w:rsid w:val="0035361A"/>
    <w:rsid w:val="0036691A"/>
    <w:rsid w:val="00371CF1"/>
    <w:rsid w:val="0037222D"/>
    <w:rsid w:val="00373128"/>
    <w:rsid w:val="003750C1"/>
    <w:rsid w:val="0038051E"/>
    <w:rsid w:val="00380AF7"/>
    <w:rsid w:val="00384326"/>
    <w:rsid w:val="00394A05"/>
    <w:rsid w:val="00397770"/>
    <w:rsid w:val="00397880"/>
    <w:rsid w:val="003A4725"/>
    <w:rsid w:val="003A6093"/>
    <w:rsid w:val="003A7016"/>
    <w:rsid w:val="003A72A4"/>
    <w:rsid w:val="003B0C08"/>
    <w:rsid w:val="003C06F7"/>
    <w:rsid w:val="003C17A5"/>
    <w:rsid w:val="003C1843"/>
    <w:rsid w:val="003C3066"/>
    <w:rsid w:val="003D1552"/>
    <w:rsid w:val="003E381F"/>
    <w:rsid w:val="003E4046"/>
    <w:rsid w:val="003F003A"/>
    <w:rsid w:val="003F125B"/>
    <w:rsid w:val="003F7B3F"/>
    <w:rsid w:val="00403398"/>
    <w:rsid w:val="004058AD"/>
    <w:rsid w:val="0040688A"/>
    <w:rsid w:val="0041078D"/>
    <w:rsid w:val="0041151E"/>
    <w:rsid w:val="0041566C"/>
    <w:rsid w:val="00416F97"/>
    <w:rsid w:val="00425173"/>
    <w:rsid w:val="0043039B"/>
    <w:rsid w:val="00436197"/>
    <w:rsid w:val="004423FE"/>
    <w:rsid w:val="00445C35"/>
    <w:rsid w:val="0045022F"/>
    <w:rsid w:val="00454B41"/>
    <w:rsid w:val="0045663A"/>
    <w:rsid w:val="0046344E"/>
    <w:rsid w:val="004667E7"/>
    <w:rsid w:val="004672CF"/>
    <w:rsid w:val="00470DEF"/>
    <w:rsid w:val="00472AE3"/>
    <w:rsid w:val="00475797"/>
    <w:rsid w:val="00476D0A"/>
    <w:rsid w:val="00481243"/>
    <w:rsid w:val="00481D5B"/>
    <w:rsid w:val="00491024"/>
    <w:rsid w:val="0049253B"/>
    <w:rsid w:val="004A140B"/>
    <w:rsid w:val="004A4B47"/>
    <w:rsid w:val="004A7EDD"/>
    <w:rsid w:val="004B0EC9"/>
    <w:rsid w:val="004B7BAA"/>
    <w:rsid w:val="004C2DF7"/>
    <w:rsid w:val="004C4E0B"/>
    <w:rsid w:val="004C4F6A"/>
    <w:rsid w:val="004C77A6"/>
    <w:rsid w:val="004D497E"/>
    <w:rsid w:val="004E4784"/>
    <w:rsid w:val="004E4809"/>
    <w:rsid w:val="004E4CC3"/>
    <w:rsid w:val="004E5985"/>
    <w:rsid w:val="004E6352"/>
    <w:rsid w:val="004E6460"/>
    <w:rsid w:val="004E79C2"/>
    <w:rsid w:val="004F6B46"/>
    <w:rsid w:val="0050425E"/>
    <w:rsid w:val="00505647"/>
    <w:rsid w:val="00507855"/>
    <w:rsid w:val="00511999"/>
    <w:rsid w:val="005145D6"/>
    <w:rsid w:val="00521EA5"/>
    <w:rsid w:val="00525B80"/>
    <w:rsid w:val="005265A5"/>
    <w:rsid w:val="0053098F"/>
    <w:rsid w:val="00536B2E"/>
    <w:rsid w:val="00545930"/>
    <w:rsid w:val="00546D8E"/>
    <w:rsid w:val="00550D42"/>
    <w:rsid w:val="00552E78"/>
    <w:rsid w:val="00553738"/>
    <w:rsid w:val="00553F7E"/>
    <w:rsid w:val="0056646F"/>
    <w:rsid w:val="00571AE1"/>
    <w:rsid w:val="005733BF"/>
    <w:rsid w:val="0057760C"/>
    <w:rsid w:val="00581B28"/>
    <w:rsid w:val="005859C2"/>
    <w:rsid w:val="00592267"/>
    <w:rsid w:val="0059421F"/>
    <w:rsid w:val="005A136D"/>
    <w:rsid w:val="005A4435"/>
    <w:rsid w:val="005A4CB0"/>
    <w:rsid w:val="005B0AE2"/>
    <w:rsid w:val="005B1F2C"/>
    <w:rsid w:val="005B3CAD"/>
    <w:rsid w:val="005B5F3C"/>
    <w:rsid w:val="005B7C3D"/>
    <w:rsid w:val="005C41F2"/>
    <w:rsid w:val="005D03D9"/>
    <w:rsid w:val="005D1EE8"/>
    <w:rsid w:val="005D32D7"/>
    <w:rsid w:val="005D56AE"/>
    <w:rsid w:val="005D666D"/>
    <w:rsid w:val="005D7D3F"/>
    <w:rsid w:val="005E0C00"/>
    <w:rsid w:val="005E3A59"/>
    <w:rsid w:val="00604802"/>
    <w:rsid w:val="0060774C"/>
    <w:rsid w:val="006102C1"/>
    <w:rsid w:val="0061437A"/>
    <w:rsid w:val="00615AB0"/>
    <w:rsid w:val="00616247"/>
    <w:rsid w:val="0061778C"/>
    <w:rsid w:val="00620CE8"/>
    <w:rsid w:val="00625D5C"/>
    <w:rsid w:val="00636B90"/>
    <w:rsid w:val="006408A4"/>
    <w:rsid w:val="0064738B"/>
    <w:rsid w:val="006508EA"/>
    <w:rsid w:val="0065365A"/>
    <w:rsid w:val="00653EC7"/>
    <w:rsid w:val="00657972"/>
    <w:rsid w:val="006665E0"/>
    <w:rsid w:val="00667E86"/>
    <w:rsid w:val="00682E0E"/>
    <w:rsid w:val="00682F99"/>
    <w:rsid w:val="0068392D"/>
    <w:rsid w:val="00692F6F"/>
    <w:rsid w:val="00697DB5"/>
    <w:rsid w:val="006A1B33"/>
    <w:rsid w:val="006A492A"/>
    <w:rsid w:val="006B0538"/>
    <w:rsid w:val="006B5C72"/>
    <w:rsid w:val="006B7525"/>
    <w:rsid w:val="006B7C5A"/>
    <w:rsid w:val="006C289D"/>
    <w:rsid w:val="006C6266"/>
    <w:rsid w:val="006D0310"/>
    <w:rsid w:val="006D05CC"/>
    <w:rsid w:val="006D2009"/>
    <w:rsid w:val="006D499A"/>
    <w:rsid w:val="006D5576"/>
    <w:rsid w:val="006D7DE2"/>
    <w:rsid w:val="006E1742"/>
    <w:rsid w:val="006E7483"/>
    <w:rsid w:val="006E766D"/>
    <w:rsid w:val="006F4B29"/>
    <w:rsid w:val="006F6CE9"/>
    <w:rsid w:val="00700C19"/>
    <w:rsid w:val="0070517C"/>
    <w:rsid w:val="00705C9F"/>
    <w:rsid w:val="00712335"/>
    <w:rsid w:val="00716951"/>
    <w:rsid w:val="00720F6B"/>
    <w:rsid w:val="0072194F"/>
    <w:rsid w:val="00726991"/>
    <w:rsid w:val="007273AF"/>
    <w:rsid w:val="00730ADA"/>
    <w:rsid w:val="00732C37"/>
    <w:rsid w:val="00735D9E"/>
    <w:rsid w:val="0074070F"/>
    <w:rsid w:val="00744A62"/>
    <w:rsid w:val="00745A09"/>
    <w:rsid w:val="00751EAF"/>
    <w:rsid w:val="00752C6A"/>
    <w:rsid w:val="00754CF7"/>
    <w:rsid w:val="00755E85"/>
    <w:rsid w:val="00757B0D"/>
    <w:rsid w:val="00757EC7"/>
    <w:rsid w:val="00761320"/>
    <w:rsid w:val="007651B1"/>
    <w:rsid w:val="0076566F"/>
    <w:rsid w:val="00767A3D"/>
    <w:rsid w:val="00767CE1"/>
    <w:rsid w:val="00771A68"/>
    <w:rsid w:val="00773565"/>
    <w:rsid w:val="007744D2"/>
    <w:rsid w:val="00774B81"/>
    <w:rsid w:val="00775BE7"/>
    <w:rsid w:val="0078398A"/>
    <w:rsid w:val="00786136"/>
    <w:rsid w:val="007A7E22"/>
    <w:rsid w:val="007B05CF"/>
    <w:rsid w:val="007B67BF"/>
    <w:rsid w:val="007B6CA9"/>
    <w:rsid w:val="007C212A"/>
    <w:rsid w:val="007C2A7F"/>
    <w:rsid w:val="007C2D5E"/>
    <w:rsid w:val="007C475E"/>
    <w:rsid w:val="007D5B3C"/>
    <w:rsid w:val="007E7D21"/>
    <w:rsid w:val="007E7DBD"/>
    <w:rsid w:val="007F365F"/>
    <w:rsid w:val="007F482F"/>
    <w:rsid w:val="007F4EB4"/>
    <w:rsid w:val="007F7C94"/>
    <w:rsid w:val="0080398D"/>
    <w:rsid w:val="00805174"/>
    <w:rsid w:val="00806385"/>
    <w:rsid w:val="00807CC5"/>
    <w:rsid w:val="00807ED7"/>
    <w:rsid w:val="00807EFC"/>
    <w:rsid w:val="00814CC6"/>
    <w:rsid w:val="0081533F"/>
    <w:rsid w:val="0082224C"/>
    <w:rsid w:val="00824247"/>
    <w:rsid w:val="00826D53"/>
    <w:rsid w:val="008273AA"/>
    <w:rsid w:val="00827A70"/>
    <w:rsid w:val="0083044B"/>
    <w:rsid w:val="00831362"/>
    <w:rsid w:val="00831751"/>
    <w:rsid w:val="00833369"/>
    <w:rsid w:val="00835B42"/>
    <w:rsid w:val="00842A4E"/>
    <w:rsid w:val="008475DD"/>
    <w:rsid w:val="00847D99"/>
    <w:rsid w:val="0085038E"/>
    <w:rsid w:val="008505C6"/>
    <w:rsid w:val="0085230A"/>
    <w:rsid w:val="00855757"/>
    <w:rsid w:val="00860B9A"/>
    <w:rsid w:val="0086271D"/>
    <w:rsid w:val="0086420B"/>
    <w:rsid w:val="00864DBF"/>
    <w:rsid w:val="00865AE2"/>
    <w:rsid w:val="00865F84"/>
    <w:rsid w:val="008663C8"/>
    <w:rsid w:val="0088163A"/>
    <w:rsid w:val="008867EA"/>
    <w:rsid w:val="00886F08"/>
    <w:rsid w:val="00893376"/>
    <w:rsid w:val="0089601F"/>
    <w:rsid w:val="008970B8"/>
    <w:rsid w:val="008A1909"/>
    <w:rsid w:val="008A7313"/>
    <w:rsid w:val="008A7D91"/>
    <w:rsid w:val="008B7A56"/>
    <w:rsid w:val="008B7FC7"/>
    <w:rsid w:val="008C22BC"/>
    <w:rsid w:val="008C4337"/>
    <w:rsid w:val="008C4F06"/>
    <w:rsid w:val="008D0C90"/>
    <w:rsid w:val="008D20B5"/>
    <w:rsid w:val="008E1E4A"/>
    <w:rsid w:val="008F0615"/>
    <w:rsid w:val="008F103E"/>
    <w:rsid w:val="008F1FDB"/>
    <w:rsid w:val="008F36FB"/>
    <w:rsid w:val="00902EA9"/>
    <w:rsid w:val="0090427F"/>
    <w:rsid w:val="009046D2"/>
    <w:rsid w:val="00911B0C"/>
    <w:rsid w:val="00920506"/>
    <w:rsid w:val="00931DEB"/>
    <w:rsid w:val="00933957"/>
    <w:rsid w:val="009356FA"/>
    <w:rsid w:val="00937936"/>
    <w:rsid w:val="0094231E"/>
    <w:rsid w:val="009438D1"/>
    <w:rsid w:val="0094603B"/>
    <w:rsid w:val="0094797C"/>
    <w:rsid w:val="009504A1"/>
    <w:rsid w:val="00950605"/>
    <w:rsid w:val="009508AE"/>
    <w:rsid w:val="00952233"/>
    <w:rsid w:val="00954D66"/>
    <w:rsid w:val="00962F1B"/>
    <w:rsid w:val="00963F8F"/>
    <w:rsid w:val="00967EFE"/>
    <w:rsid w:val="009709C0"/>
    <w:rsid w:val="009727AE"/>
    <w:rsid w:val="00973C62"/>
    <w:rsid w:val="0097536F"/>
    <w:rsid w:val="00975D76"/>
    <w:rsid w:val="00982E51"/>
    <w:rsid w:val="0098598E"/>
    <w:rsid w:val="009874B9"/>
    <w:rsid w:val="00993581"/>
    <w:rsid w:val="00995CF9"/>
    <w:rsid w:val="00996B51"/>
    <w:rsid w:val="00996F77"/>
    <w:rsid w:val="009A08B1"/>
    <w:rsid w:val="009A288C"/>
    <w:rsid w:val="009A29F2"/>
    <w:rsid w:val="009A64C1"/>
    <w:rsid w:val="009B6697"/>
    <w:rsid w:val="009B78FF"/>
    <w:rsid w:val="009C2B43"/>
    <w:rsid w:val="009C2EA4"/>
    <w:rsid w:val="009C4C04"/>
    <w:rsid w:val="009C5514"/>
    <w:rsid w:val="009D1B2C"/>
    <w:rsid w:val="009D492D"/>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6B83"/>
    <w:rsid w:val="00A20826"/>
    <w:rsid w:val="00A23C76"/>
    <w:rsid w:val="00A268CE"/>
    <w:rsid w:val="00A31A3A"/>
    <w:rsid w:val="00A332E8"/>
    <w:rsid w:val="00A35AF5"/>
    <w:rsid w:val="00A35DDF"/>
    <w:rsid w:val="00A36654"/>
    <w:rsid w:val="00A36CBA"/>
    <w:rsid w:val="00A432CD"/>
    <w:rsid w:val="00A44F24"/>
    <w:rsid w:val="00A45741"/>
    <w:rsid w:val="00A47EF6"/>
    <w:rsid w:val="00A50291"/>
    <w:rsid w:val="00A530E4"/>
    <w:rsid w:val="00A53D92"/>
    <w:rsid w:val="00A604CD"/>
    <w:rsid w:val="00A60FE6"/>
    <w:rsid w:val="00A622F5"/>
    <w:rsid w:val="00A654BE"/>
    <w:rsid w:val="00A66DD6"/>
    <w:rsid w:val="00A75018"/>
    <w:rsid w:val="00A771FD"/>
    <w:rsid w:val="00A80767"/>
    <w:rsid w:val="00A81C90"/>
    <w:rsid w:val="00A874EF"/>
    <w:rsid w:val="00A92164"/>
    <w:rsid w:val="00A92AB1"/>
    <w:rsid w:val="00A95415"/>
    <w:rsid w:val="00AA277C"/>
    <w:rsid w:val="00AA3C89"/>
    <w:rsid w:val="00AB32BD"/>
    <w:rsid w:val="00AB4723"/>
    <w:rsid w:val="00AC4CDB"/>
    <w:rsid w:val="00AC6BED"/>
    <w:rsid w:val="00AC70FE"/>
    <w:rsid w:val="00AD3AA3"/>
    <w:rsid w:val="00AD4358"/>
    <w:rsid w:val="00AD454F"/>
    <w:rsid w:val="00AF58A2"/>
    <w:rsid w:val="00AF61E1"/>
    <w:rsid w:val="00AF638A"/>
    <w:rsid w:val="00B00141"/>
    <w:rsid w:val="00B009AA"/>
    <w:rsid w:val="00B00ECE"/>
    <w:rsid w:val="00B030C8"/>
    <w:rsid w:val="00B039C0"/>
    <w:rsid w:val="00B03A09"/>
    <w:rsid w:val="00B056E7"/>
    <w:rsid w:val="00B05B71"/>
    <w:rsid w:val="00B10035"/>
    <w:rsid w:val="00B15C76"/>
    <w:rsid w:val="00B165E6"/>
    <w:rsid w:val="00B21BD4"/>
    <w:rsid w:val="00B235DB"/>
    <w:rsid w:val="00B32CBF"/>
    <w:rsid w:val="00B35FFE"/>
    <w:rsid w:val="00B424D9"/>
    <w:rsid w:val="00B447C0"/>
    <w:rsid w:val="00B52510"/>
    <w:rsid w:val="00B53E53"/>
    <w:rsid w:val="00B548A2"/>
    <w:rsid w:val="00B56934"/>
    <w:rsid w:val="00B60539"/>
    <w:rsid w:val="00B62F03"/>
    <w:rsid w:val="00B72444"/>
    <w:rsid w:val="00B77066"/>
    <w:rsid w:val="00B80BB7"/>
    <w:rsid w:val="00B81701"/>
    <w:rsid w:val="00B914A8"/>
    <w:rsid w:val="00B93B62"/>
    <w:rsid w:val="00B953D1"/>
    <w:rsid w:val="00B96D93"/>
    <w:rsid w:val="00BA19CB"/>
    <w:rsid w:val="00BA30D0"/>
    <w:rsid w:val="00BB0D32"/>
    <w:rsid w:val="00BC76B5"/>
    <w:rsid w:val="00BD33DD"/>
    <w:rsid w:val="00BD3D7C"/>
    <w:rsid w:val="00BD5420"/>
    <w:rsid w:val="00BE494E"/>
    <w:rsid w:val="00BE5FB5"/>
    <w:rsid w:val="00BF5191"/>
    <w:rsid w:val="00C04BD2"/>
    <w:rsid w:val="00C13EEC"/>
    <w:rsid w:val="00C14689"/>
    <w:rsid w:val="00C15699"/>
    <w:rsid w:val="00C156A4"/>
    <w:rsid w:val="00C20FAA"/>
    <w:rsid w:val="00C23509"/>
    <w:rsid w:val="00C2459D"/>
    <w:rsid w:val="00C2755A"/>
    <w:rsid w:val="00C316F1"/>
    <w:rsid w:val="00C42C95"/>
    <w:rsid w:val="00C4470F"/>
    <w:rsid w:val="00C50727"/>
    <w:rsid w:val="00C52B44"/>
    <w:rsid w:val="00C55E5B"/>
    <w:rsid w:val="00C569B3"/>
    <w:rsid w:val="00C62739"/>
    <w:rsid w:val="00C6463A"/>
    <w:rsid w:val="00C65C07"/>
    <w:rsid w:val="00C719E2"/>
    <w:rsid w:val="00C720A4"/>
    <w:rsid w:val="00C74F59"/>
    <w:rsid w:val="00C7611C"/>
    <w:rsid w:val="00C7744C"/>
    <w:rsid w:val="00C87A3A"/>
    <w:rsid w:val="00C94097"/>
    <w:rsid w:val="00C94BAB"/>
    <w:rsid w:val="00CA4269"/>
    <w:rsid w:val="00CA48CA"/>
    <w:rsid w:val="00CA7330"/>
    <w:rsid w:val="00CB1C84"/>
    <w:rsid w:val="00CB5363"/>
    <w:rsid w:val="00CB64BF"/>
    <w:rsid w:val="00CB64F0"/>
    <w:rsid w:val="00CB6584"/>
    <w:rsid w:val="00CC1F85"/>
    <w:rsid w:val="00CC251B"/>
    <w:rsid w:val="00CC2909"/>
    <w:rsid w:val="00CC431E"/>
    <w:rsid w:val="00CD0549"/>
    <w:rsid w:val="00CD2C06"/>
    <w:rsid w:val="00CD322C"/>
    <w:rsid w:val="00CD3BA7"/>
    <w:rsid w:val="00CE2264"/>
    <w:rsid w:val="00CE6B3C"/>
    <w:rsid w:val="00D028ED"/>
    <w:rsid w:val="00D05E6F"/>
    <w:rsid w:val="00D11CF5"/>
    <w:rsid w:val="00D12488"/>
    <w:rsid w:val="00D1459D"/>
    <w:rsid w:val="00D16E2A"/>
    <w:rsid w:val="00D20296"/>
    <w:rsid w:val="00D2231A"/>
    <w:rsid w:val="00D276BD"/>
    <w:rsid w:val="00D27929"/>
    <w:rsid w:val="00D33442"/>
    <w:rsid w:val="00D419C6"/>
    <w:rsid w:val="00D44BAD"/>
    <w:rsid w:val="00D45B55"/>
    <w:rsid w:val="00D470E4"/>
    <w:rsid w:val="00D4785A"/>
    <w:rsid w:val="00D52E43"/>
    <w:rsid w:val="00D664D7"/>
    <w:rsid w:val="00D67E1E"/>
    <w:rsid w:val="00D7097B"/>
    <w:rsid w:val="00D7197D"/>
    <w:rsid w:val="00D71B40"/>
    <w:rsid w:val="00D72BC4"/>
    <w:rsid w:val="00D74FED"/>
    <w:rsid w:val="00D815FC"/>
    <w:rsid w:val="00D8517B"/>
    <w:rsid w:val="00D87460"/>
    <w:rsid w:val="00D90171"/>
    <w:rsid w:val="00D91DFA"/>
    <w:rsid w:val="00D96802"/>
    <w:rsid w:val="00DA159A"/>
    <w:rsid w:val="00DB1AB2"/>
    <w:rsid w:val="00DC17C2"/>
    <w:rsid w:val="00DC4FDF"/>
    <w:rsid w:val="00DC6334"/>
    <w:rsid w:val="00DC66F0"/>
    <w:rsid w:val="00DD0852"/>
    <w:rsid w:val="00DD3105"/>
    <w:rsid w:val="00DD3A65"/>
    <w:rsid w:val="00DD3C19"/>
    <w:rsid w:val="00DD49EC"/>
    <w:rsid w:val="00DD62C6"/>
    <w:rsid w:val="00DE3B92"/>
    <w:rsid w:val="00DE48B4"/>
    <w:rsid w:val="00DE5ACA"/>
    <w:rsid w:val="00DE6505"/>
    <w:rsid w:val="00DE7137"/>
    <w:rsid w:val="00DE7F70"/>
    <w:rsid w:val="00DF18E4"/>
    <w:rsid w:val="00E00498"/>
    <w:rsid w:val="00E03B11"/>
    <w:rsid w:val="00E10133"/>
    <w:rsid w:val="00E1464C"/>
    <w:rsid w:val="00E14ADB"/>
    <w:rsid w:val="00E16AB9"/>
    <w:rsid w:val="00E22F78"/>
    <w:rsid w:val="00E2425D"/>
    <w:rsid w:val="00E24F87"/>
    <w:rsid w:val="00E2617A"/>
    <w:rsid w:val="00E273FB"/>
    <w:rsid w:val="00E31CD4"/>
    <w:rsid w:val="00E32D34"/>
    <w:rsid w:val="00E3695B"/>
    <w:rsid w:val="00E37A54"/>
    <w:rsid w:val="00E42282"/>
    <w:rsid w:val="00E47405"/>
    <w:rsid w:val="00E538E6"/>
    <w:rsid w:val="00E56696"/>
    <w:rsid w:val="00E65AD2"/>
    <w:rsid w:val="00E74332"/>
    <w:rsid w:val="00E755CF"/>
    <w:rsid w:val="00E768A9"/>
    <w:rsid w:val="00E802A2"/>
    <w:rsid w:val="00E821A7"/>
    <w:rsid w:val="00E8410F"/>
    <w:rsid w:val="00E85C0B"/>
    <w:rsid w:val="00E96C81"/>
    <w:rsid w:val="00E97300"/>
    <w:rsid w:val="00E97E96"/>
    <w:rsid w:val="00EA020D"/>
    <w:rsid w:val="00EA7089"/>
    <w:rsid w:val="00EB13D7"/>
    <w:rsid w:val="00EB13EA"/>
    <w:rsid w:val="00EB1E83"/>
    <w:rsid w:val="00EC01AD"/>
    <w:rsid w:val="00EC327E"/>
    <w:rsid w:val="00ED1DE2"/>
    <w:rsid w:val="00ED22CB"/>
    <w:rsid w:val="00ED4690"/>
    <w:rsid w:val="00ED4BB1"/>
    <w:rsid w:val="00ED67AF"/>
    <w:rsid w:val="00EE11F0"/>
    <w:rsid w:val="00EE128C"/>
    <w:rsid w:val="00EE4C48"/>
    <w:rsid w:val="00EE5D2E"/>
    <w:rsid w:val="00EE7E6F"/>
    <w:rsid w:val="00EF66D9"/>
    <w:rsid w:val="00EF68E3"/>
    <w:rsid w:val="00EF6BA5"/>
    <w:rsid w:val="00EF780D"/>
    <w:rsid w:val="00EF7A98"/>
    <w:rsid w:val="00F0267E"/>
    <w:rsid w:val="00F02AE0"/>
    <w:rsid w:val="00F071B2"/>
    <w:rsid w:val="00F11B47"/>
    <w:rsid w:val="00F15009"/>
    <w:rsid w:val="00F2412D"/>
    <w:rsid w:val="00F25D8D"/>
    <w:rsid w:val="00F3069C"/>
    <w:rsid w:val="00F3238A"/>
    <w:rsid w:val="00F341CB"/>
    <w:rsid w:val="00F3603E"/>
    <w:rsid w:val="00F44CCB"/>
    <w:rsid w:val="00F474C9"/>
    <w:rsid w:val="00F47B45"/>
    <w:rsid w:val="00F5126B"/>
    <w:rsid w:val="00F54EA3"/>
    <w:rsid w:val="00F61675"/>
    <w:rsid w:val="00F6686B"/>
    <w:rsid w:val="00F67F74"/>
    <w:rsid w:val="00F712B3"/>
    <w:rsid w:val="00F71E9F"/>
    <w:rsid w:val="00F73DE3"/>
    <w:rsid w:val="00F744BF"/>
    <w:rsid w:val="00F7632C"/>
    <w:rsid w:val="00F77219"/>
    <w:rsid w:val="00F82C5B"/>
    <w:rsid w:val="00F82DEA"/>
    <w:rsid w:val="00F84DD2"/>
    <w:rsid w:val="00F8507A"/>
    <w:rsid w:val="00F92DD4"/>
    <w:rsid w:val="00F95439"/>
    <w:rsid w:val="00FA7416"/>
    <w:rsid w:val="00FB0872"/>
    <w:rsid w:val="00FB54CC"/>
    <w:rsid w:val="00FC1E32"/>
    <w:rsid w:val="00FD1A37"/>
    <w:rsid w:val="00FD230F"/>
    <w:rsid w:val="00FD4E5B"/>
    <w:rsid w:val="00FE4EE0"/>
    <w:rsid w:val="00FE6164"/>
    <w:rsid w:val="00FE7BB4"/>
    <w:rsid w:val="00FF0F9A"/>
    <w:rsid w:val="00FF5657"/>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4993E3"/>
  <w15:docId w15:val="{2338535C-A650-4DFD-8911-F4E2A39C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TOCHeading">
    <w:name w:val="TOC Heading"/>
    <w:basedOn w:val="Heading1"/>
    <w:next w:val="Normal"/>
    <w:uiPriority w:val="39"/>
    <w:unhideWhenUsed/>
    <w:qFormat/>
    <w:rsid w:val="0035361A"/>
    <w:pPr>
      <w:tabs>
        <w:tab w:val="left" w:pos="1134"/>
      </w:tabs>
      <w:spacing w:before="240" w:after="0"/>
      <w:jc w:val="both"/>
      <w:outlineLvl w:val="9"/>
    </w:pPr>
    <w:rPr>
      <w:rFonts w:asciiTheme="majorHAnsi" w:eastAsiaTheme="majorEastAsia" w:hAnsiTheme="majorHAnsi" w:cstheme="majorBidi"/>
      <w:b w:val="0"/>
      <w:bCs w:val="0"/>
      <w:color w:val="365F91" w:themeColor="accent1" w:themeShade="BF"/>
      <w:kern w:val="0"/>
      <w:sz w:val="32"/>
      <w:szCs w:val="32"/>
      <w:lang w:eastAsia="en-US"/>
    </w:rPr>
  </w:style>
  <w:style w:type="numbering" w:customStyle="1" w:styleId="NoList1">
    <w:name w:val="No List1"/>
    <w:next w:val="NoList"/>
    <w:uiPriority w:val="99"/>
    <w:semiHidden/>
    <w:unhideWhenUsed/>
    <w:rsid w:val="00D028ED"/>
  </w:style>
  <w:style w:type="character" w:customStyle="1" w:styleId="HeaderChar">
    <w:name w:val="Header Char"/>
    <w:basedOn w:val="DefaultParagraphFont"/>
    <w:link w:val="Header"/>
    <w:uiPriority w:val="99"/>
    <w:rsid w:val="00D028ED"/>
    <w:rPr>
      <w:rFonts w:ascii="Verdana" w:eastAsia="Arial" w:hAnsi="Verdana" w:cs="Arial"/>
      <w:lang w:val="en-GB" w:eastAsia="en-US"/>
    </w:rPr>
  </w:style>
  <w:style w:type="paragraph" w:customStyle="1" w:styleId="FooterTo">
    <w:name w:val="Footer_To"/>
    <w:basedOn w:val="Footercc"/>
    <w:qFormat/>
    <w:rsid w:val="00D028ED"/>
    <w:pPr>
      <w:tabs>
        <w:tab w:val="clear" w:pos="6662"/>
      </w:tabs>
      <w:spacing w:before="400"/>
    </w:pPr>
  </w:style>
  <w:style w:type="paragraph" w:customStyle="1" w:styleId="CircActionrequiredList">
    <w:name w:val="Circ_Action_required_List"/>
    <w:basedOn w:val="CircActionrequired"/>
    <w:qFormat/>
    <w:rsid w:val="00D028ED"/>
    <w:pPr>
      <w:tabs>
        <w:tab w:val="left" w:pos="1985"/>
        <w:tab w:val="left" w:pos="2552"/>
      </w:tabs>
      <w:spacing w:after="120"/>
      <w:ind w:left="2552" w:hanging="2552"/>
    </w:pPr>
  </w:style>
  <w:style w:type="paragraph" w:customStyle="1" w:styleId="a">
    <w:name w:val="**********************"/>
    <w:basedOn w:val="Normal"/>
    <w:uiPriority w:val="1"/>
    <w:qFormat/>
    <w:rsid w:val="00D028ED"/>
    <w:pPr>
      <w:tabs>
        <w:tab w:val="clear" w:pos="1134"/>
        <w:tab w:val="left" w:pos="1418"/>
      </w:tabs>
      <w:spacing w:after="200"/>
      <w:jc w:val="left"/>
    </w:pPr>
    <w:rPr>
      <w:rFonts w:eastAsiaTheme="minorEastAsia" w:cstheme="minorBidi"/>
      <w:szCs w:val="22"/>
      <w:lang w:eastAsia="zh-CN"/>
    </w:rPr>
  </w:style>
  <w:style w:type="paragraph" w:customStyle="1" w:styleId="CircRefDate">
    <w:name w:val="Circ_Ref&amp;Date"/>
    <w:basedOn w:val="Normal"/>
    <w:qFormat/>
    <w:rsid w:val="00D028ED"/>
    <w:pPr>
      <w:tabs>
        <w:tab w:val="left" w:pos="6523"/>
      </w:tabs>
      <w:spacing w:before="240" w:after="200"/>
      <w:jc w:val="left"/>
    </w:pPr>
    <w:rPr>
      <w:rFonts w:eastAsiaTheme="minorEastAsia" w:cstheme="minorBidi"/>
      <w:sz w:val="18"/>
      <w:lang w:eastAsia="zh-CN"/>
    </w:rPr>
  </w:style>
  <w:style w:type="paragraph" w:customStyle="1" w:styleId="CircActionrequired">
    <w:name w:val="Circ_Action_required"/>
    <w:basedOn w:val="Normal"/>
    <w:qFormat/>
    <w:rsid w:val="00D028ED"/>
    <w:pPr>
      <w:tabs>
        <w:tab w:val="clear" w:pos="1134"/>
      </w:tabs>
      <w:spacing w:after="200"/>
      <w:ind w:left="1985" w:hanging="1985"/>
      <w:jc w:val="left"/>
    </w:pPr>
    <w:rPr>
      <w:rFonts w:eastAsiaTheme="minorEastAsia" w:cstheme="minorBidi"/>
      <w:szCs w:val="22"/>
      <w:lang w:val="fr-FR" w:eastAsia="zh-CN"/>
    </w:rPr>
  </w:style>
  <w:style w:type="paragraph" w:customStyle="1" w:styleId="CircSubjectactionreq">
    <w:name w:val="Circ_Subject_action req"/>
    <w:basedOn w:val="Normal"/>
    <w:qFormat/>
    <w:rsid w:val="00D028ED"/>
    <w:pPr>
      <w:tabs>
        <w:tab w:val="clear" w:pos="1134"/>
      </w:tabs>
      <w:spacing w:before="480" w:after="200"/>
      <w:ind w:left="1985" w:hanging="1985"/>
      <w:jc w:val="left"/>
    </w:pPr>
    <w:rPr>
      <w:rFonts w:eastAsiaTheme="minorEastAsia" w:cstheme="minorBidi"/>
      <w:szCs w:val="22"/>
      <w:lang w:val="fr-FR" w:eastAsia="zh-CN"/>
    </w:rPr>
  </w:style>
  <w:style w:type="paragraph" w:customStyle="1" w:styleId="CircBody">
    <w:name w:val="Circ_Body"/>
    <w:basedOn w:val="Normal"/>
    <w:qFormat/>
    <w:rsid w:val="00D028ED"/>
    <w:pPr>
      <w:tabs>
        <w:tab w:val="clear" w:pos="1134"/>
        <w:tab w:val="left" w:pos="1418"/>
        <w:tab w:val="left" w:pos="1701"/>
      </w:tabs>
      <w:spacing w:after="240"/>
      <w:ind w:firstLine="1134"/>
      <w:jc w:val="left"/>
    </w:pPr>
    <w:rPr>
      <w:rFonts w:eastAsiaTheme="minorEastAsia" w:cstheme="minorBidi"/>
      <w:szCs w:val="22"/>
      <w:lang w:val="fr-FR" w:eastAsia="zh-CN"/>
    </w:rPr>
  </w:style>
  <w:style w:type="paragraph" w:customStyle="1" w:styleId="CircSignature">
    <w:name w:val="Circ_Signature"/>
    <w:basedOn w:val="Normal"/>
    <w:qFormat/>
    <w:rsid w:val="00D028ED"/>
    <w:pPr>
      <w:tabs>
        <w:tab w:val="clear" w:pos="1134"/>
        <w:tab w:val="left" w:pos="1418"/>
      </w:tabs>
      <w:ind w:left="4820"/>
      <w:jc w:val="center"/>
    </w:pPr>
    <w:rPr>
      <w:rFonts w:eastAsiaTheme="minorEastAsia" w:cstheme="minorBidi"/>
      <w:szCs w:val="22"/>
      <w:lang w:val="fr-FR" w:eastAsia="zh-CN"/>
    </w:rPr>
  </w:style>
  <w:style w:type="paragraph" w:customStyle="1" w:styleId="Footercc">
    <w:name w:val="Footer_cc"/>
    <w:basedOn w:val="Normal"/>
    <w:qFormat/>
    <w:rsid w:val="00D028ED"/>
    <w:pPr>
      <w:tabs>
        <w:tab w:val="clear" w:pos="1134"/>
        <w:tab w:val="left" w:pos="1418"/>
        <w:tab w:val="left" w:pos="6662"/>
      </w:tabs>
      <w:spacing w:before="140"/>
      <w:ind w:left="567" w:hanging="567"/>
      <w:jc w:val="left"/>
    </w:pPr>
    <w:rPr>
      <w:rFonts w:eastAsiaTheme="minorEastAsia" w:cstheme="minorBidi"/>
      <w:sz w:val="18"/>
      <w:szCs w:val="22"/>
      <w:lang w:val="fr-FR" w:eastAsia="zh-CN"/>
    </w:rPr>
  </w:style>
  <w:style w:type="paragraph" w:customStyle="1" w:styleId="CircDearSirMadam">
    <w:name w:val="Circ_Dear Sir/Madam"/>
    <w:basedOn w:val="Normal"/>
    <w:qFormat/>
    <w:rsid w:val="00D028ED"/>
    <w:pPr>
      <w:tabs>
        <w:tab w:val="clear" w:pos="1134"/>
        <w:tab w:val="left" w:pos="1418"/>
      </w:tabs>
      <w:spacing w:before="720" w:after="240"/>
      <w:jc w:val="left"/>
    </w:pPr>
    <w:rPr>
      <w:rFonts w:eastAsiaTheme="minorEastAsia" w:cstheme="minorBidi"/>
      <w:szCs w:val="22"/>
      <w:lang w:val="fr-FR" w:eastAsia="zh-CN"/>
    </w:rPr>
  </w:style>
  <w:style w:type="paragraph" w:customStyle="1" w:styleId="CircBodyList">
    <w:name w:val="Circ_Body_List"/>
    <w:basedOn w:val="CircBody"/>
    <w:qFormat/>
    <w:rsid w:val="00D028ED"/>
    <w:pPr>
      <w:tabs>
        <w:tab w:val="clear" w:pos="1418"/>
        <w:tab w:val="clear" w:pos="1701"/>
        <w:tab w:val="left" w:pos="567"/>
      </w:tabs>
      <w:ind w:left="1701" w:hanging="567"/>
    </w:pPr>
  </w:style>
  <w:style w:type="paragraph" w:customStyle="1" w:styleId="Disclaimer">
    <w:name w:val="Disclaimer"/>
    <w:basedOn w:val="CircBody"/>
    <w:qFormat/>
    <w:rsid w:val="00D028ED"/>
    <w:pPr>
      <w:ind w:left="1134" w:right="567" w:firstLine="0"/>
    </w:pPr>
    <w:rPr>
      <w:i/>
    </w:rPr>
  </w:style>
  <w:style w:type="character" w:customStyle="1" w:styleId="FooterChar">
    <w:name w:val="Footer Char"/>
    <w:basedOn w:val="DefaultParagraphFont"/>
    <w:link w:val="Footer"/>
    <w:uiPriority w:val="99"/>
    <w:rsid w:val="00D028ED"/>
    <w:rPr>
      <w:rFonts w:ascii="Verdana" w:eastAsia="Arial" w:hAnsi="Verdana" w:cs="Arial"/>
      <w:lang w:val="en-GB" w:eastAsia="en-US"/>
    </w:rPr>
  </w:style>
  <w:style w:type="paragraph" w:customStyle="1" w:styleId="HeaderPageNo">
    <w:name w:val="Header_Page No"/>
    <w:basedOn w:val="Header"/>
    <w:qFormat/>
    <w:rsid w:val="00D028ED"/>
    <w:pPr>
      <w:tabs>
        <w:tab w:val="left" w:pos="1418"/>
        <w:tab w:val="center" w:pos="4680"/>
        <w:tab w:val="right" w:pos="9360"/>
      </w:tabs>
      <w:spacing w:after="480"/>
    </w:pPr>
    <w:rPr>
      <w:rFonts w:eastAsiaTheme="minorEastAsia" w:cstheme="minorBidi"/>
      <w:sz w:val="18"/>
      <w:szCs w:val="22"/>
      <w:lang w:val="fr-FR" w:eastAsia="zh-CN"/>
    </w:rPr>
  </w:style>
  <w:style w:type="paragraph" w:customStyle="1" w:styleId="HeaderAnnex">
    <w:name w:val="Header_Annex"/>
    <w:basedOn w:val="HeaderPageNo"/>
    <w:qFormat/>
    <w:rsid w:val="00D028ED"/>
    <w:pPr>
      <w:jc w:val="right"/>
    </w:pPr>
    <w:rPr>
      <w:b/>
      <w:szCs w:val="18"/>
    </w:rPr>
  </w:style>
  <w:style w:type="paragraph" w:customStyle="1" w:styleId="CircSubjecttab2NOactionreq">
    <w:name w:val="Circ_Subject_tab2 NO action req"/>
    <w:basedOn w:val="Normal"/>
    <w:qFormat/>
    <w:rsid w:val="00D028ED"/>
    <w:pPr>
      <w:tabs>
        <w:tab w:val="clear" w:pos="1134"/>
      </w:tabs>
      <w:spacing w:before="480" w:after="200"/>
      <w:ind w:left="1134" w:right="39" w:hanging="1134"/>
      <w:jc w:val="left"/>
    </w:pPr>
    <w:rPr>
      <w:rFonts w:eastAsia="SimSun"/>
      <w:bCs/>
      <w:lang w:val="fr-FR" w:eastAsia="zh-CN"/>
    </w:rPr>
  </w:style>
  <w:style w:type="paragraph" w:customStyle="1" w:styleId="CircFormulefin">
    <w:name w:val="Circ_Formule_fin"/>
    <w:basedOn w:val="Normal"/>
    <w:qFormat/>
    <w:rsid w:val="00D028ED"/>
    <w:pPr>
      <w:tabs>
        <w:tab w:val="clear" w:pos="1134"/>
      </w:tabs>
      <w:spacing w:after="960"/>
      <w:ind w:right="39" w:firstLine="1134"/>
      <w:jc w:val="left"/>
    </w:pPr>
    <w:rPr>
      <w:rFonts w:eastAsia="SimSun"/>
      <w:lang w:val="fr-CH" w:eastAsia="zh-CN"/>
    </w:rPr>
  </w:style>
  <w:style w:type="paragraph" w:customStyle="1" w:styleId="CircAnnexes">
    <w:name w:val="Circ_Annexes"/>
    <w:basedOn w:val="Normal"/>
    <w:qFormat/>
    <w:rsid w:val="00D028ED"/>
    <w:pPr>
      <w:jc w:val="left"/>
    </w:pPr>
    <w:rPr>
      <w:rFonts w:eastAsiaTheme="minorEastAsia" w:cstheme="minorBidi"/>
      <w:szCs w:val="22"/>
      <w:lang w:eastAsia="zh-CN"/>
    </w:rPr>
  </w:style>
  <w:style w:type="paragraph" w:customStyle="1" w:styleId="CircBodyListe">
    <w:name w:val="Circ_Body_Liste"/>
    <w:basedOn w:val="CircBody"/>
    <w:qFormat/>
    <w:rsid w:val="00D028ED"/>
    <w:pPr>
      <w:tabs>
        <w:tab w:val="clear" w:pos="1418"/>
      </w:tabs>
      <w:ind w:left="1701" w:hanging="567"/>
    </w:pPr>
  </w:style>
  <w:style w:type="paragraph" w:customStyle="1" w:styleId="CircBodyList2">
    <w:name w:val="Circ_Body_List2"/>
    <w:basedOn w:val="CircBodyListe"/>
    <w:qFormat/>
    <w:rsid w:val="00D028ED"/>
    <w:pPr>
      <w:ind w:left="2268"/>
    </w:pPr>
  </w:style>
  <w:style w:type="paragraph" w:customStyle="1" w:styleId="TitreAnnexescirculaire">
    <w:name w:val="Titre_Annexes_circulaire"/>
    <w:basedOn w:val="CircSignature"/>
    <w:qFormat/>
    <w:rsid w:val="00D028ED"/>
    <w:pPr>
      <w:ind w:left="0"/>
      <w:jc w:val="right"/>
    </w:pPr>
    <w:rPr>
      <w:b/>
      <w:bCs/>
      <w:sz w:val="18"/>
      <w:szCs w:val="18"/>
    </w:rPr>
  </w:style>
  <w:style w:type="paragraph" w:customStyle="1" w:styleId="Footercc2">
    <w:name w:val="Footer_cc2"/>
    <w:basedOn w:val="Footercc"/>
    <w:qFormat/>
    <w:rsid w:val="00D028ED"/>
    <w:pPr>
      <w:spacing w:before="0"/>
      <w:ind w:firstLine="0"/>
    </w:pPr>
  </w:style>
  <w:style w:type="paragraph" w:customStyle="1" w:styleId="CircYoursfaithfully">
    <w:name w:val="Circ_Yours_faithfully"/>
    <w:basedOn w:val="CircSignature"/>
    <w:qFormat/>
    <w:rsid w:val="00D028ED"/>
    <w:pPr>
      <w:spacing w:after="960"/>
    </w:pPr>
    <w:rPr>
      <w:rFonts w:eastAsia="SimSun" w:cs="Arial"/>
      <w:szCs w:val="20"/>
      <w:lang w:val="fr-CH"/>
    </w:rPr>
  </w:style>
  <w:style w:type="paragraph" w:customStyle="1" w:styleId="IndivSignature">
    <w:name w:val="Indiv_Signature"/>
    <w:basedOn w:val="Normal"/>
    <w:qFormat/>
    <w:rsid w:val="00D028ED"/>
    <w:pPr>
      <w:tabs>
        <w:tab w:val="clear" w:pos="1134"/>
      </w:tabs>
      <w:ind w:left="4820"/>
      <w:jc w:val="center"/>
    </w:pPr>
    <w:rPr>
      <w:rFonts w:eastAsiaTheme="minorEastAsia" w:cstheme="minorBidi"/>
      <w:lang w:val="fr-CH" w:eastAsia="zh-TW"/>
    </w:rPr>
  </w:style>
  <w:style w:type="character" w:customStyle="1" w:styleId="CommentTextChar">
    <w:name w:val="Comment Text Char"/>
    <w:basedOn w:val="DefaultParagraphFont"/>
    <w:link w:val="CommentText"/>
    <w:uiPriority w:val="99"/>
    <w:semiHidden/>
    <w:rsid w:val="00D028ED"/>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D028ED"/>
    <w:rPr>
      <w:rFonts w:ascii="Verdana" w:eastAsia="Arial" w:hAnsi="Verdana" w:cs="Arial"/>
      <w:b/>
      <w:bCs/>
      <w:lang w:val="en-GB" w:eastAsia="en-US"/>
    </w:rPr>
  </w:style>
  <w:style w:type="paragraph" w:styleId="Revision">
    <w:name w:val="Revision"/>
    <w:hidden/>
    <w:uiPriority w:val="99"/>
    <w:semiHidden/>
    <w:rsid w:val="00D028ED"/>
    <w:rPr>
      <w:rFonts w:ascii="Verdana" w:eastAsiaTheme="minorEastAsia" w:hAnsi="Verdana" w:cstheme="minorBidi"/>
      <w:szCs w:val="22"/>
      <w:lang w:val="en-GB" w:eastAsia="zh-CN"/>
    </w:rPr>
  </w:style>
  <w:style w:type="character" w:customStyle="1" w:styleId="Heading5Char">
    <w:name w:val="Heading 5 Char"/>
    <w:basedOn w:val="DefaultParagraphFont"/>
    <w:link w:val="Heading5"/>
    <w:uiPriority w:val="9"/>
    <w:rsid w:val="00D028ED"/>
    <w:rPr>
      <w:rFonts w:ascii="Verdana" w:eastAsia="Arial" w:hAnsi="Verdana" w:cs="Arial"/>
      <w:bCs/>
      <w:i/>
      <w:iCs/>
      <w:szCs w:val="22"/>
      <w:lang w:val="en-GB"/>
    </w:rPr>
  </w:style>
  <w:style w:type="character" w:customStyle="1" w:styleId="Heading6Char">
    <w:name w:val="Heading 6 Char"/>
    <w:basedOn w:val="DefaultParagraphFont"/>
    <w:link w:val="Heading6"/>
    <w:rsid w:val="00D028ED"/>
    <w:rPr>
      <w:rFonts w:ascii="Verdana" w:eastAsia="Arial" w:hAnsi="Verdana" w:cs="Arial"/>
      <w:b/>
      <w:snapToGrid w:val="0"/>
      <w:spacing w:val="-2"/>
      <w:lang w:val="en-GB"/>
    </w:rPr>
  </w:style>
  <w:style w:type="character" w:customStyle="1" w:styleId="Heading7Char">
    <w:name w:val="Heading 7 Char"/>
    <w:basedOn w:val="DefaultParagraphFont"/>
    <w:link w:val="Heading7"/>
    <w:rsid w:val="00D028E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D028ED"/>
    <w:rPr>
      <w:rFonts w:eastAsia="Arial"/>
      <w:i/>
      <w:iCs/>
      <w:sz w:val="24"/>
      <w:szCs w:val="24"/>
      <w:lang w:val="en-GB" w:eastAsia="en-US"/>
    </w:rPr>
  </w:style>
  <w:style w:type="character" w:customStyle="1" w:styleId="Heading9Char">
    <w:name w:val="Heading 9 Char"/>
    <w:basedOn w:val="DefaultParagraphFont"/>
    <w:link w:val="Heading9"/>
    <w:rsid w:val="00D028ED"/>
    <w:rPr>
      <w:rFonts w:ascii="Verdana" w:eastAsia="Arial" w:hAnsi="Verdana" w:cs="Arial"/>
      <w:szCs w:val="22"/>
      <w:lang w:val="en-GB" w:eastAsia="en-US"/>
    </w:rPr>
  </w:style>
  <w:style w:type="character" w:customStyle="1" w:styleId="DocumentMapChar">
    <w:name w:val="Document Map Char"/>
    <w:basedOn w:val="DefaultParagraphFont"/>
    <w:link w:val="DocumentMap"/>
    <w:semiHidden/>
    <w:rsid w:val="00D028ED"/>
    <w:rPr>
      <w:rFonts w:ascii="Tahoma" w:eastAsia="Arial" w:hAnsi="Tahoma" w:cs="Tahoma"/>
      <w:shd w:val="clear" w:color="auto" w:fill="000080"/>
      <w:lang w:val="en-GB" w:eastAsia="en-US"/>
    </w:rPr>
  </w:style>
  <w:style w:type="character" w:customStyle="1" w:styleId="TitleChar">
    <w:name w:val="Title Char"/>
    <w:basedOn w:val="DefaultParagraphFont"/>
    <w:link w:val="Title"/>
    <w:rsid w:val="00D028ED"/>
    <w:rPr>
      <w:rFonts w:ascii="Verdana" w:eastAsia="Arial" w:hAnsi="Verdana" w:cs="Arial"/>
      <w:b/>
      <w:bCs/>
      <w:kern w:val="28"/>
      <w:sz w:val="32"/>
      <w:szCs w:val="32"/>
      <w:lang w:val="en-GB" w:eastAsia="en-US"/>
    </w:rPr>
  </w:style>
  <w:style w:type="paragraph" w:styleId="ListParagraph">
    <w:name w:val="List Paragraph"/>
    <w:basedOn w:val="Normal"/>
    <w:uiPriority w:val="34"/>
    <w:qFormat/>
    <w:rsid w:val="00D028ED"/>
    <w:pPr>
      <w:tabs>
        <w:tab w:val="clear" w:pos="1134"/>
      </w:tabs>
      <w:spacing w:after="160" w:line="259" w:lineRule="auto"/>
      <w:ind w:left="720"/>
      <w:contextualSpacing/>
    </w:pPr>
    <w:rPr>
      <w:rFonts w:asciiTheme="minorHAnsi" w:eastAsiaTheme="minorHAnsi" w:hAnsiTheme="minorHAnsi" w:cstheme="minorBidi"/>
      <w:sz w:val="22"/>
      <w:szCs w:val="22"/>
      <w:lang w:val="en-US"/>
    </w:rPr>
  </w:style>
  <w:style w:type="paragraph" w:customStyle="1" w:styleId="paragraph">
    <w:name w:val="paragraph"/>
    <w:basedOn w:val="Normal"/>
    <w:rsid w:val="00D028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028ED"/>
  </w:style>
  <w:style w:type="character" w:customStyle="1" w:styleId="eop">
    <w:name w:val="eop"/>
    <w:basedOn w:val="DefaultParagraphFont"/>
    <w:rsid w:val="00D028ED"/>
  </w:style>
  <w:style w:type="character" w:customStyle="1" w:styleId="scxw204881840">
    <w:name w:val="scxw204881840"/>
    <w:basedOn w:val="DefaultParagraphFont"/>
    <w:rsid w:val="00D028ED"/>
  </w:style>
  <w:style w:type="character" w:styleId="Mention">
    <w:name w:val="Mention"/>
    <w:basedOn w:val="DefaultParagraphFont"/>
    <w:uiPriority w:val="99"/>
    <w:unhideWhenUsed/>
    <w:rsid w:val="00D028ED"/>
    <w:rPr>
      <w:color w:val="2B579A"/>
      <w:shd w:val="clear" w:color="auto" w:fill="E1DFDD"/>
    </w:rPr>
  </w:style>
  <w:style w:type="paragraph" w:customStyle="1" w:styleId="StyleHeading1Left">
    <w:name w:val="Style Heading 1 + Left"/>
    <w:basedOn w:val="Heading1"/>
    <w:rsid w:val="00D028ED"/>
    <w:pPr>
      <w:jc w:val="lef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45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31" TargetMode="External"/><Relationship Id="rId18" Type="http://schemas.openxmlformats.org/officeDocument/2006/relationships/hyperlink" Target="https://library.wmo.int/doc_num.php?explnum_id=1133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library.wmo.int/doc_num.php?explnum_id=11331" TargetMode="External"/><Relationship Id="rId17" Type="http://schemas.openxmlformats.org/officeDocument/2006/relationships/hyperlink" Target="https://library.wmo.int/doc_num.php?explnum_id=111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0" Type="http://schemas.openxmlformats.org/officeDocument/2006/relationships/hyperlink" Target="https://library.wmo.int/doc_num.php?explnum_id=113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11331" TargetMode="External"/><Relationship Id="rId23" Type="http://schemas.openxmlformats.org/officeDocument/2006/relationships/hyperlink" Target="https://library.wmo.int/doc_num.php?explnum_id=10504" TargetMode="External"/><Relationship Id="rId10" Type="http://schemas.openxmlformats.org/officeDocument/2006/relationships/endnotes" Target="endnotes.xml"/><Relationship Id="rId19" Type="http://schemas.openxmlformats.org/officeDocument/2006/relationships/hyperlink" Target="https://library.wmo.int/doc_num.php?explnum_id=11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31" TargetMode="External"/><Relationship Id="rId22" Type="http://schemas.openxmlformats.org/officeDocument/2006/relationships/hyperlink" Target="https://library.wmo.int/doc_num.php?explnum_id=51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doc_num.php?explnum_id=1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3679bf0f-1d7e-438f-afa5-6ebf1e20f9b8"/>
    <ds:schemaRef ds:uri="ce21bc6c-711a-4065-a01c-a8f0e29e3ad8"/>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3AADB2-7B0B-4764-9C43-FAADD75BEF2D}">
  <ds:schemaRefs>
    <ds:schemaRef ds:uri="http://schemas.openxmlformats.org/officeDocument/2006/bibliography"/>
  </ds:schemaRefs>
</ds:datastoreItem>
</file>

<file path=customXml/itemProps4.xml><?xml version="1.0" encoding="utf-8"?>
<ds:datastoreItem xmlns:ds="http://schemas.openxmlformats.org/officeDocument/2006/customXml" ds:itemID="{ED7D1AAE-2E98-43CC-A270-01738C35F9D3}"/>
</file>

<file path=docProps/app.xml><?xml version="1.0" encoding="utf-8"?>
<Properties xmlns="http://schemas.openxmlformats.org/officeDocument/2006/extended-properties" xmlns:vt="http://schemas.openxmlformats.org/officeDocument/2006/docPropsVTypes">
  <Template>Normal</Template>
  <TotalTime>489</TotalTime>
  <Pages>25</Pages>
  <Words>11653</Words>
  <Characters>64092</Characters>
  <Application>Microsoft Office Word</Application>
  <DocSecurity>0</DocSecurity>
  <Lines>534</Lines>
  <Paragraphs>151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75594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Nadia Oppliger</dc:creator>
  <cp:lastModifiedBy>Fabian Rubiolo</cp:lastModifiedBy>
  <cp:revision>185</cp:revision>
  <cp:lastPrinted>2013-03-12T09:27:00Z</cp:lastPrinted>
  <dcterms:created xsi:type="dcterms:W3CDTF">2023-04-14T09:14:00Z</dcterms:created>
  <dcterms:modified xsi:type="dcterms:W3CDTF">2023-04-17T11:40:00Z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carla.sanjuan</vt:lpwstr>
  </property>
  <property fmtid="{D5CDD505-2E9C-101B-9397-08002B2CF9AE}" pid="6" name="GeneratedDate">
    <vt:lpwstr>04/14/2023 08:59:09</vt:lpwstr>
  </property>
  <property fmtid="{D5CDD505-2E9C-101B-9397-08002B2CF9AE}" pid="7" name="OriginalDocID">
    <vt:lpwstr>74d5fb9e-762e-4854-b3bc-1322251da194</vt:lpwstr>
  </property>
</Properties>
</file>